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8B2605" w14:textId="77777777" w:rsidR="004021C0" w:rsidRDefault="004021C0">
      <w:pPr>
        <w:rPr>
          <w:lang w:val="en-US"/>
        </w:rPr>
      </w:pPr>
    </w:p>
    <w:p w14:paraId="66B42F14" w14:textId="77777777" w:rsidR="004021C0" w:rsidRDefault="004021C0">
      <w:pPr>
        <w:rPr>
          <w:lang w:val="en-US"/>
        </w:rPr>
      </w:pPr>
    </w:p>
    <w:p w14:paraId="593B1859" w14:textId="7F1E4269" w:rsidR="004021C0" w:rsidRPr="004021C0" w:rsidRDefault="004021C0" w:rsidP="004021C0">
      <w:pPr>
        <w:spacing w:after="0"/>
        <w:jc w:val="center"/>
        <w:rPr>
          <w:rFonts w:ascii="Arial" w:hAnsi="Arial" w:cs="Arial"/>
          <w:b/>
          <w:bCs/>
          <w:sz w:val="28"/>
          <w:szCs w:val="28"/>
        </w:rPr>
      </w:pPr>
      <w:r w:rsidRPr="004021C0">
        <w:rPr>
          <w:rFonts w:ascii="Arial" w:hAnsi="Arial" w:cs="Arial"/>
          <w:b/>
          <w:bCs/>
          <w:sz w:val="28"/>
          <w:szCs w:val="28"/>
        </w:rPr>
        <w:t xml:space="preserve">2024-25 </w:t>
      </w:r>
      <w:r w:rsidRPr="004021C0">
        <w:rPr>
          <w:rFonts w:ascii="Arial" w:hAnsi="Arial" w:cs="Arial"/>
          <w:b/>
          <w:bCs/>
          <w:sz w:val="28"/>
          <w:szCs w:val="28"/>
        </w:rPr>
        <w:t>Complaints</w:t>
      </w:r>
      <w:r w:rsidRPr="004021C0">
        <w:rPr>
          <w:rFonts w:ascii="Arial" w:hAnsi="Arial" w:cs="Arial"/>
          <w:b/>
          <w:bCs/>
          <w:sz w:val="28"/>
          <w:szCs w:val="28"/>
        </w:rPr>
        <w:t xml:space="preserve"> Handling Report</w:t>
      </w:r>
    </w:p>
    <w:p w14:paraId="4B21F91B" w14:textId="77777777" w:rsidR="004021C0" w:rsidRPr="00C70805" w:rsidRDefault="004021C0" w:rsidP="004021C0">
      <w:pPr>
        <w:spacing w:after="0"/>
        <w:rPr>
          <w:rFonts w:ascii="Arial" w:hAnsi="Arial" w:cs="Arial"/>
          <w:highlight w:val="yellow"/>
        </w:rPr>
      </w:pPr>
    </w:p>
    <w:p w14:paraId="715E546D" w14:textId="77777777" w:rsidR="004021C0" w:rsidRPr="00BD36F5" w:rsidRDefault="004021C0" w:rsidP="004021C0">
      <w:pPr>
        <w:spacing w:after="0"/>
        <w:rPr>
          <w:rFonts w:ascii="Arial" w:hAnsi="Arial" w:cs="Arial"/>
        </w:rPr>
      </w:pPr>
      <w:r w:rsidRPr="00C70805">
        <w:rPr>
          <w:rFonts w:ascii="Arial" w:hAnsi="Arial" w:cs="Arial"/>
          <w:highlight w:val="yellow"/>
        </w:rPr>
        <w:t xml:space="preserve">  </w:t>
      </w:r>
    </w:p>
    <w:p w14:paraId="5F5778BC" w14:textId="77777777" w:rsidR="004021C0" w:rsidRPr="004021C0" w:rsidRDefault="004021C0" w:rsidP="004021C0">
      <w:pPr>
        <w:spacing w:after="0"/>
        <w:rPr>
          <w:rFonts w:ascii="Arial" w:hAnsi="Arial" w:cs="Arial"/>
          <w:b/>
          <w:bCs/>
          <w:sz w:val="24"/>
          <w:szCs w:val="24"/>
        </w:rPr>
      </w:pPr>
      <w:r w:rsidRPr="004021C0">
        <w:rPr>
          <w:rFonts w:ascii="Arial" w:hAnsi="Arial" w:cs="Arial"/>
          <w:b/>
          <w:bCs/>
          <w:sz w:val="24"/>
          <w:szCs w:val="24"/>
        </w:rPr>
        <w:t>Complaints</w:t>
      </w:r>
    </w:p>
    <w:p w14:paraId="39BFC074" w14:textId="77777777" w:rsidR="004021C0" w:rsidRPr="004021C0" w:rsidRDefault="004021C0" w:rsidP="004021C0">
      <w:pPr>
        <w:spacing w:after="0"/>
        <w:rPr>
          <w:rFonts w:ascii="Arial" w:hAnsi="Arial" w:cs="Arial"/>
          <w:sz w:val="24"/>
          <w:szCs w:val="24"/>
        </w:rPr>
      </w:pPr>
    </w:p>
    <w:p w14:paraId="0C46FB29" w14:textId="77777777" w:rsidR="004021C0" w:rsidRPr="004021C0" w:rsidRDefault="004021C0" w:rsidP="004021C0">
      <w:pPr>
        <w:spacing w:after="0"/>
        <w:rPr>
          <w:rFonts w:ascii="Arial" w:hAnsi="Arial" w:cs="Arial"/>
          <w:sz w:val="24"/>
          <w:szCs w:val="24"/>
        </w:rPr>
      </w:pPr>
      <w:r w:rsidRPr="004021C0">
        <w:rPr>
          <w:rFonts w:ascii="Arial" w:hAnsi="Arial" w:cs="Arial"/>
          <w:sz w:val="24"/>
          <w:szCs w:val="24"/>
        </w:rPr>
        <w:t xml:space="preserve">The Association received 2 complaints in </w:t>
      </w:r>
      <w:proofErr w:type="gramStart"/>
      <w:r w:rsidRPr="004021C0">
        <w:rPr>
          <w:rFonts w:ascii="Arial" w:hAnsi="Arial" w:cs="Arial"/>
          <w:sz w:val="24"/>
          <w:szCs w:val="24"/>
        </w:rPr>
        <w:t>2024/25</w:t>
      </w:r>
      <w:proofErr w:type="gramEnd"/>
      <w:r w:rsidRPr="004021C0">
        <w:rPr>
          <w:rFonts w:ascii="Arial" w:hAnsi="Arial" w:cs="Arial"/>
          <w:sz w:val="24"/>
          <w:szCs w:val="24"/>
        </w:rPr>
        <w:t xml:space="preserve"> and all were resolved at Stage 1 within the target timescales. </w:t>
      </w:r>
    </w:p>
    <w:p w14:paraId="1A1DFF48" w14:textId="77777777" w:rsidR="004021C0" w:rsidRPr="004021C0" w:rsidRDefault="004021C0" w:rsidP="004021C0">
      <w:pPr>
        <w:spacing w:after="0"/>
        <w:rPr>
          <w:rFonts w:ascii="Arial" w:hAnsi="Arial" w:cs="Arial"/>
          <w:sz w:val="24"/>
          <w:szCs w:val="24"/>
        </w:rPr>
      </w:pPr>
    </w:p>
    <w:p w14:paraId="0BD72727" w14:textId="77777777" w:rsidR="004021C0" w:rsidRPr="004021C0" w:rsidRDefault="004021C0" w:rsidP="004021C0">
      <w:pPr>
        <w:spacing w:after="0"/>
        <w:rPr>
          <w:rFonts w:ascii="Arial" w:hAnsi="Arial" w:cs="Arial"/>
          <w:sz w:val="24"/>
          <w:szCs w:val="24"/>
        </w:rPr>
      </w:pPr>
      <w:r w:rsidRPr="004021C0">
        <w:rPr>
          <w:rFonts w:ascii="Arial" w:hAnsi="Arial" w:cs="Arial"/>
          <w:sz w:val="24"/>
          <w:szCs w:val="24"/>
        </w:rPr>
        <w:t xml:space="preserve">By comparison last year –2023/24 there were 3 </w:t>
      </w:r>
      <w:proofErr w:type="gramStart"/>
      <w:r w:rsidRPr="004021C0">
        <w:rPr>
          <w:rFonts w:ascii="Arial" w:hAnsi="Arial" w:cs="Arial"/>
          <w:sz w:val="24"/>
          <w:szCs w:val="24"/>
        </w:rPr>
        <w:t>complaints</w:t>
      </w:r>
      <w:proofErr w:type="gramEnd"/>
      <w:r w:rsidRPr="004021C0">
        <w:rPr>
          <w:rFonts w:ascii="Arial" w:hAnsi="Arial" w:cs="Arial"/>
          <w:sz w:val="24"/>
          <w:szCs w:val="24"/>
        </w:rPr>
        <w:t xml:space="preserve"> so complaints have reduced by 33% from the previous year.</w:t>
      </w:r>
    </w:p>
    <w:p w14:paraId="20DBF25D" w14:textId="77777777" w:rsidR="004021C0" w:rsidRPr="004021C0" w:rsidRDefault="004021C0" w:rsidP="004021C0">
      <w:pPr>
        <w:spacing w:after="0"/>
        <w:rPr>
          <w:rFonts w:ascii="Arial" w:hAnsi="Arial" w:cs="Arial"/>
          <w:sz w:val="24"/>
          <w:szCs w:val="24"/>
          <w:highlight w:val="yellow"/>
        </w:rPr>
      </w:pPr>
    </w:p>
    <w:p w14:paraId="30ED8FE2" w14:textId="77777777" w:rsidR="004021C0" w:rsidRPr="004021C0" w:rsidRDefault="004021C0" w:rsidP="004021C0">
      <w:pPr>
        <w:spacing w:after="0"/>
        <w:rPr>
          <w:rFonts w:ascii="Arial" w:hAnsi="Arial" w:cs="Arial"/>
          <w:sz w:val="24"/>
          <w:szCs w:val="24"/>
        </w:rPr>
      </w:pPr>
    </w:p>
    <w:tbl>
      <w:tblPr>
        <w:tblW w:w="9060" w:type="dxa"/>
        <w:tblLook w:val="04A0" w:firstRow="1" w:lastRow="0" w:firstColumn="1" w:lastColumn="0" w:noHBand="0" w:noVBand="1"/>
      </w:tblPr>
      <w:tblGrid>
        <w:gridCol w:w="5360"/>
        <w:gridCol w:w="1780"/>
        <w:gridCol w:w="960"/>
        <w:gridCol w:w="1030"/>
      </w:tblGrid>
      <w:tr w:rsidR="004021C0" w:rsidRPr="004021C0" w14:paraId="098A15C3" w14:textId="77777777" w:rsidTr="000B417A">
        <w:trPr>
          <w:trHeight w:val="300"/>
        </w:trPr>
        <w:tc>
          <w:tcPr>
            <w:tcW w:w="5360" w:type="dxa"/>
            <w:tcBorders>
              <w:top w:val="nil"/>
              <w:left w:val="nil"/>
              <w:right w:val="nil"/>
            </w:tcBorders>
            <w:noWrap/>
            <w:vAlign w:val="bottom"/>
            <w:hideMark/>
          </w:tcPr>
          <w:p w14:paraId="24B5B07D" w14:textId="77777777" w:rsidR="004021C0" w:rsidRPr="004021C0" w:rsidRDefault="004021C0" w:rsidP="000B417A">
            <w:pPr>
              <w:spacing w:after="0"/>
              <w:rPr>
                <w:rFonts w:ascii="Arial" w:hAnsi="Arial" w:cs="Arial"/>
                <w:b/>
                <w:bCs/>
                <w:color w:val="000000"/>
                <w:sz w:val="24"/>
                <w:szCs w:val="24"/>
                <w:lang w:eastAsia="en-GB"/>
              </w:rPr>
            </w:pPr>
          </w:p>
        </w:tc>
        <w:tc>
          <w:tcPr>
            <w:tcW w:w="1780" w:type="dxa"/>
            <w:tcBorders>
              <w:top w:val="nil"/>
              <w:left w:val="nil"/>
              <w:bottom w:val="nil"/>
              <w:right w:val="nil"/>
            </w:tcBorders>
            <w:noWrap/>
            <w:vAlign w:val="bottom"/>
            <w:hideMark/>
          </w:tcPr>
          <w:p w14:paraId="694067A6" w14:textId="77777777" w:rsidR="004021C0" w:rsidRPr="004021C0" w:rsidRDefault="004021C0" w:rsidP="000B417A">
            <w:pPr>
              <w:spacing w:after="0"/>
              <w:jc w:val="center"/>
              <w:rPr>
                <w:rFonts w:ascii="Arial" w:hAnsi="Arial" w:cs="Arial"/>
                <w:b/>
                <w:bCs/>
                <w:color w:val="000000"/>
                <w:sz w:val="24"/>
                <w:szCs w:val="24"/>
                <w:u w:val="single"/>
                <w:lang w:eastAsia="en-GB"/>
              </w:rPr>
            </w:pPr>
            <w:r w:rsidRPr="004021C0">
              <w:rPr>
                <w:rFonts w:ascii="Arial" w:hAnsi="Arial" w:cs="Arial"/>
                <w:b/>
                <w:bCs/>
                <w:color w:val="000000"/>
                <w:sz w:val="24"/>
                <w:szCs w:val="24"/>
                <w:u w:val="single"/>
                <w:lang w:eastAsia="en-GB"/>
              </w:rPr>
              <w:t>2024/25</w:t>
            </w:r>
          </w:p>
        </w:tc>
        <w:tc>
          <w:tcPr>
            <w:tcW w:w="960" w:type="dxa"/>
            <w:tcBorders>
              <w:top w:val="nil"/>
              <w:left w:val="nil"/>
              <w:bottom w:val="nil"/>
              <w:right w:val="nil"/>
            </w:tcBorders>
            <w:noWrap/>
            <w:vAlign w:val="bottom"/>
            <w:hideMark/>
          </w:tcPr>
          <w:p w14:paraId="66D54D01" w14:textId="77777777" w:rsidR="004021C0" w:rsidRPr="004021C0" w:rsidRDefault="004021C0" w:rsidP="000B417A">
            <w:pPr>
              <w:spacing w:after="0"/>
              <w:jc w:val="center"/>
              <w:rPr>
                <w:rFonts w:ascii="Arial" w:hAnsi="Arial" w:cs="Arial"/>
                <w:b/>
                <w:bCs/>
                <w:color w:val="000000"/>
                <w:sz w:val="24"/>
                <w:szCs w:val="24"/>
                <w:u w:val="single"/>
                <w:lang w:eastAsia="en-GB"/>
              </w:rPr>
            </w:pPr>
          </w:p>
        </w:tc>
        <w:tc>
          <w:tcPr>
            <w:tcW w:w="960" w:type="dxa"/>
            <w:tcBorders>
              <w:top w:val="nil"/>
              <w:left w:val="nil"/>
              <w:bottom w:val="nil"/>
              <w:right w:val="nil"/>
            </w:tcBorders>
            <w:noWrap/>
            <w:vAlign w:val="bottom"/>
            <w:hideMark/>
          </w:tcPr>
          <w:p w14:paraId="1FF80950" w14:textId="77777777" w:rsidR="004021C0" w:rsidRPr="004021C0" w:rsidRDefault="004021C0" w:rsidP="000B417A">
            <w:pPr>
              <w:spacing w:after="0"/>
              <w:jc w:val="center"/>
              <w:rPr>
                <w:rFonts w:ascii="Arial" w:hAnsi="Arial" w:cs="Arial"/>
                <w:b/>
                <w:bCs/>
                <w:color w:val="000000"/>
                <w:sz w:val="24"/>
                <w:szCs w:val="24"/>
                <w:u w:val="single"/>
                <w:lang w:eastAsia="en-GB"/>
              </w:rPr>
            </w:pPr>
            <w:r w:rsidRPr="004021C0">
              <w:rPr>
                <w:rFonts w:ascii="Arial" w:hAnsi="Arial" w:cs="Arial"/>
                <w:b/>
                <w:bCs/>
                <w:color w:val="000000"/>
                <w:sz w:val="24"/>
                <w:szCs w:val="24"/>
                <w:u w:val="single"/>
                <w:lang w:eastAsia="en-GB"/>
              </w:rPr>
              <w:t>SPBM</w:t>
            </w:r>
          </w:p>
        </w:tc>
      </w:tr>
      <w:tr w:rsidR="004021C0" w:rsidRPr="004021C0" w14:paraId="0BF5FF89" w14:textId="77777777" w:rsidTr="000B417A">
        <w:trPr>
          <w:trHeight w:val="300"/>
        </w:trPr>
        <w:tc>
          <w:tcPr>
            <w:tcW w:w="5360" w:type="dxa"/>
            <w:tcBorders>
              <w:left w:val="nil"/>
              <w:bottom w:val="nil"/>
              <w:right w:val="nil"/>
            </w:tcBorders>
            <w:noWrap/>
            <w:vAlign w:val="bottom"/>
            <w:hideMark/>
          </w:tcPr>
          <w:p w14:paraId="11718933" w14:textId="77777777" w:rsidR="004021C0" w:rsidRPr="004021C0" w:rsidRDefault="004021C0" w:rsidP="000B417A">
            <w:pPr>
              <w:spacing w:after="0"/>
              <w:jc w:val="center"/>
              <w:rPr>
                <w:rFonts w:ascii="Arial" w:hAnsi="Arial" w:cs="Arial"/>
                <w:b/>
                <w:bCs/>
                <w:color w:val="000000"/>
                <w:sz w:val="24"/>
                <w:szCs w:val="24"/>
                <w:highlight w:val="yellow"/>
                <w:u w:val="single"/>
                <w:lang w:eastAsia="en-GB"/>
              </w:rPr>
            </w:pPr>
          </w:p>
        </w:tc>
        <w:tc>
          <w:tcPr>
            <w:tcW w:w="1780" w:type="dxa"/>
            <w:tcBorders>
              <w:top w:val="nil"/>
              <w:left w:val="nil"/>
              <w:bottom w:val="nil"/>
              <w:right w:val="nil"/>
            </w:tcBorders>
            <w:noWrap/>
            <w:vAlign w:val="bottom"/>
            <w:hideMark/>
          </w:tcPr>
          <w:p w14:paraId="4BA91536" w14:textId="77777777" w:rsidR="004021C0" w:rsidRPr="004021C0" w:rsidRDefault="004021C0" w:rsidP="000B417A">
            <w:pPr>
              <w:spacing w:after="0"/>
              <w:rPr>
                <w:rFonts w:ascii="Arial" w:hAnsi="Arial" w:cs="Arial"/>
                <w:sz w:val="24"/>
                <w:szCs w:val="24"/>
                <w:highlight w:val="yellow"/>
                <w:lang w:eastAsia="en-GB"/>
              </w:rPr>
            </w:pPr>
          </w:p>
        </w:tc>
        <w:tc>
          <w:tcPr>
            <w:tcW w:w="960" w:type="dxa"/>
            <w:tcBorders>
              <w:top w:val="nil"/>
              <w:left w:val="nil"/>
              <w:bottom w:val="nil"/>
              <w:right w:val="nil"/>
            </w:tcBorders>
            <w:noWrap/>
            <w:vAlign w:val="bottom"/>
            <w:hideMark/>
          </w:tcPr>
          <w:p w14:paraId="309F8E7C" w14:textId="77777777" w:rsidR="004021C0" w:rsidRPr="004021C0" w:rsidRDefault="004021C0" w:rsidP="000B417A">
            <w:pPr>
              <w:spacing w:after="0"/>
              <w:rPr>
                <w:rFonts w:ascii="Arial" w:hAnsi="Arial" w:cs="Arial"/>
                <w:sz w:val="24"/>
                <w:szCs w:val="24"/>
                <w:highlight w:val="yellow"/>
                <w:lang w:eastAsia="en-GB"/>
              </w:rPr>
            </w:pPr>
          </w:p>
        </w:tc>
        <w:tc>
          <w:tcPr>
            <w:tcW w:w="960" w:type="dxa"/>
            <w:tcBorders>
              <w:top w:val="nil"/>
              <w:left w:val="nil"/>
              <w:bottom w:val="nil"/>
              <w:right w:val="nil"/>
            </w:tcBorders>
            <w:noWrap/>
            <w:vAlign w:val="bottom"/>
            <w:hideMark/>
          </w:tcPr>
          <w:p w14:paraId="742A0B07" w14:textId="77777777" w:rsidR="004021C0" w:rsidRPr="004021C0" w:rsidRDefault="004021C0" w:rsidP="000B417A">
            <w:pPr>
              <w:spacing w:after="0"/>
              <w:rPr>
                <w:rFonts w:ascii="Arial" w:hAnsi="Arial" w:cs="Arial"/>
                <w:sz w:val="24"/>
                <w:szCs w:val="24"/>
                <w:highlight w:val="yellow"/>
                <w:lang w:eastAsia="en-GB"/>
              </w:rPr>
            </w:pPr>
          </w:p>
        </w:tc>
      </w:tr>
      <w:tr w:rsidR="004021C0" w:rsidRPr="004021C0" w14:paraId="5F0752DC" w14:textId="77777777" w:rsidTr="000B417A">
        <w:trPr>
          <w:trHeight w:val="600"/>
        </w:trPr>
        <w:tc>
          <w:tcPr>
            <w:tcW w:w="5360" w:type="dxa"/>
            <w:tcBorders>
              <w:top w:val="nil"/>
              <w:left w:val="nil"/>
              <w:bottom w:val="nil"/>
              <w:right w:val="nil"/>
            </w:tcBorders>
            <w:vAlign w:val="bottom"/>
            <w:hideMark/>
          </w:tcPr>
          <w:p w14:paraId="7758E523" w14:textId="77777777" w:rsidR="004021C0" w:rsidRPr="004021C0" w:rsidRDefault="004021C0" w:rsidP="000B417A">
            <w:pPr>
              <w:spacing w:after="0"/>
              <w:rPr>
                <w:rFonts w:ascii="Arial" w:hAnsi="Arial" w:cs="Arial"/>
                <w:b/>
                <w:bCs/>
                <w:color w:val="000000"/>
                <w:sz w:val="24"/>
                <w:szCs w:val="24"/>
                <w:lang w:eastAsia="en-GB"/>
              </w:rPr>
            </w:pPr>
            <w:r w:rsidRPr="004021C0">
              <w:rPr>
                <w:rFonts w:ascii="Arial" w:hAnsi="Arial" w:cs="Arial"/>
                <w:b/>
                <w:bCs/>
                <w:color w:val="000000"/>
                <w:sz w:val="24"/>
                <w:szCs w:val="24"/>
                <w:lang w:eastAsia="en-GB"/>
              </w:rPr>
              <w:t>Satisfaction with the Association's approach to managing complaints</w:t>
            </w:r>
          </w:p>
        </w:tc>
        <w:tc>
          <w:tcPr>
            <w:tcW w:w="1780" w:type="dxa"/>
            <w:tcBorders>
              <w:top w:val="nil"/>
              <w:left w:val="nil"/>
              <w:bottom w:val="nil"/>
              <w:right w:val="nil"/>
            </w:tcBorders>
            <w:noWrap/>
            <w:vAlign w:val="bottom"/>
            <w:hideMark/>
          </w:tcPr>
          <w:p w14:paraId="285B5CAA" w14:textId="77777777" w:rsidR="004021C0" w:rsidRPr="004021C0" w:rsidRDefault="004021C0" w:rsidP="000B417A">
            <w:pPr>
              <w:spacing w:after="0"/>
              <w:jc w:val="center"/>
              <w:rPr>
                <w:rFonts w:ascii="Arial" w:hAnsi="Arial" w:cs="Arial"/>
                <w:b/>
                <w:bCs/>
                <w:color w:val="000000"/>
                <w:sz w:val="24"/>
                <w:szCs w:val="24"/>
                <w:lang w:eastAsia="en-GB"/>
              </w:rPr>
            </w:pPr>
            <w:r w:rsidRPr="004021C0">
              <w:rPr>
                <w:rFonts w:ascii="Arial" w:hAnsi="Arial" w:cs="Arial"/>
                <w:b/>
                <w:bCs/>
                <w:color w:val="000000"/>
                <w:sz w:val="24"/>
                <w:szCs w:val="24"/>
                <w:lang w:eastAsia="en-GB"/>
              </w:rPr>
              <w:t>62%</w:t>
            </w:r>
          </w:p>
        </w:tc>
        <w:tc>
          <w:tcPr>
            <w:tcW w:w="960" w:type="dxa"/>
            <w:tcBorders>
              <w:top w:val="nil"/>
              <w:left w:val="nil"/>
              <w:bottom w:val="nil"/>
              <w:right w:val="nil"/>
            </w:tcBorders>
            <w:noWrap/>
            <w:vAlign w:val="bottom"/>
            <w:hideMark/>
          </w:tcPr>
          <w:p w14:paraId="53FE9D6E" w14:textId="77777777" w:rsidR="004021C0" w:rsidRPr="004021C0" w:rsidRDefault="004021C0" w:rsidP="000B417A">
            <w:pPr>
              <w:spacing w:after="0"/>
              <w:jc w:val="center"/>
              <w:rPr>
                <w:rFonts w:ascii="Arial" w:hAnsi="Arial" w:cs="Arial"/>
                <w:b/>
                <w:bCs/>
                <w:color w:val="000000"/>
                <w:sz w:val="24"/>
                <w:szCs w:val="24"/>
                <w:lang w:eastAsia="en-GB"/>
              </w:rPr>
            </w:pPr>
          </w:p>
        </w:tc>
        <w:tc>
          <w:tcPr>
            <w:tcW w:w="960" w:type="dxa"/>
            <w:tcBorders>
              <w:top w:val="nil"/>
              <w:left w:val="nil"/>
              <w:bottom w:val="nil"/>
              <w:right w:val="nil"/>
            </w:tcBorders>
            <w:noWrap/>
            <w:vAlign w:val="bottom"/>
            <w:hideMark/>
          </w:tcPr>
          <w:p w14:paraId="69EA5D39" w14:textId="77777777" w:rsidR="004021C0" w:rsidRPr="004021C0" w:rsidRDefault="004021C0" w:rsidP="000B417A">
            <w:pPr>
              <w:spacing w:after="0"/>
              <w:jc w:val="right"/>
              <w:rPr>
                <w:rFonts w:ascii="Arial" w:hAnsi="Arial" w:cs="Arial"/>
                <w:b/>
                <w:bCs/>
                <w:color w:val="000000"/>
                <w:sz w:val="24"/>
                <w:szCs w:val="24"/>
                <w:lang w:eastAsia="en-GB"/>
              </w:rPr>
            </w:pPr>
            <w:r w:rsidRPr="004021C0">
              <w:rPr>
                <w:rFonts w:ascii="Arial" w:hAnsi="Arial" w:cs="Arial"/>
                <w:b/>
                <w:bCs/>
                <w:color w:val="000000"/>
                <w:sz w:val="24"/>
                <w:szCs w:val="24"/>
                <w:lang w:eastAsia="en-GB"/>
              </w:rPr>
              <w:t>54%</w:t>
            </w:r>
          </w:p>
        </w:tc>
      </w:tr>
      <w:tr w:rsidR="004021C0" w:rsidRPr="004021C0" w14:paraId="748FD6C3" w14:textId="77777777" w:rsidTr="000B417A">
        <w:trPr>
          <w:trHeight w:val="300"/>
        </w:trPr>
        <w:tc>
          <w:tcPr>
            <w:tcW w:w="5360" w:type="dxa"/>
            <w:tcBorders>
              <w:top w:val="nil"/>
              <w:left w:val="nil"/>
              <w:bottom w:val="nil"/>
              <w:right w:val="nil"/>
            </w:tcBorders>
            <w:noWrap/>
            <w:vAlign w:val="bottom"/>
            <w:hideMark/>
          </w:tcPr>
          <w:p w14:paraId="3702A521" w14:textId="77777777" w:rsidR="004021C0" w:rsidRPr="004021C0" w:rsidRDefault="004021C0" w:rsidP="000B417A">
            <w:pPr>
              <w:spacing w:after="0"/>
              <w:jc w:val="right"/>
              <w:rPr>
                <w:rFonts w:ascii="Arial" w:hAnsi="Arial" w:cs="Arial"/>
                <w:b/>
                <w:bCs/>
                <w:color w:val="000000"/>
                <w:sz w:val="24"/>
                <w:szCs w:val="24"/>
                <w:lang w:eastAsia="en-GB"/>
              </w:rPr>
            </w:pPr>
          </w:p>
        </w:tc>
        <w:tc>
          <w:tcPr>
            <w:tcW w:w="1780" w:type="dxa"/>
            <w:tcBorders>
              <w:top w:val="nil"/>
              <w:left w:val="nil"/>
              <w:bottom w:val="nil"/>
              <w:right w:val="nil"/>
            </w:tcBorders>
            <w:noWrap/>
            <w:vAlign w:val="bottom"/>
            <w:hideMark/>
          </w:tcPr>
          <w:p w14:paraId="7B85A958" w14:textId="77777777" w:rsidR="004021C0" w:rsidRPr="004021C0" w:rsidRDefault="004021C0" w:rsidP="000B417A">
            <w:pPr>
              <w:spacing w:after="0"/>
              <w:rPr>
                <w:rFonts w:ascii="Arial" w:hAnsi="Arial" w:cs="Arial"/>
                <w:sz w:val="24"/>
                <w:szCs w:val="24"/>
                <w:lang w:eastAsia="en-GB"/>
              </w:rPr>
            </w:pPr>
          </w:p>
        </w:tc>
        <w:tc>
          <w:tcPr>
            <w:tcW w:w="960" w:type="dxa"/>
            <w:tcBorders>
              <w:top w:val="nil"/>
              <w:left w:val="nil"/>
              <w:bottom w:val="nil"/>
              <w:right w:val="nil"/>
            </w:tcBorders>
            <w:noWrap/>
            <w:vAlign w:val="bottom"/>
            <w:hideMark/>
          </w:tcPr>
          <w:p w14:paraId="51BE8450" w14:textId="77777777" w:rsidR="004021C0" w:rsidRPr="004021C0" w:rsidRDefault="004021C0" w:rsidP="000B417A">
            <w:pPr>
              <w:spacing w:after="0"/>
              <w:rPr>
                <w:rFonts w:ascii="Arial" w:hAnsi="Arial" w:cs="Arial"/>
                <w:sz w:val="24"/>
                <w:szCs w:val="24"/>
                <w:lang w:eastAsia="en-GB"/>
              </w:rPr>
            </w:pPr>
          </w:p>
        </w:tc>
        <w:tc>
          <w:tcPr>
            <w:tcW w:w="960" w:type="dxa"/>
            <w:tcBorders>
              <w:top w:val="nil"/>
              <w:left w:val="nil"/>
              <w:bottom w:val="nil"/>
              <w:right w:val="nil"/>
            </w:tcBorders>
            <w:noWrap/>
            <w:vAlign w:val="bottom"/>
            <w:hideMark/>
          </w:tcPr>
          <w:p w14:paraId="14E6C7E8" w14:textId="77777777" w:rsidR="004021C0" w:rsidRPr="004021C0" w:rsidRDefault="004021C0" w:rsidP="000B417A">
            <w:pPr>
              <w:spacing w:after="0"/>
              <w:rPr>
                <w:rFonts w:ascii="Arial" w:hAnsi="Arial" w:cs="Arial"/>
                <w:sz w:val="24"/>
                <w:szCs w:val="24"/>
                <w:lang w:eastAsia="en-GB"/>
              </w:rPr>
            </w:pPr>
          </w:p>
        </w:tc>
      </w:tr>
      <w:tr w:rsidR="004021C0" w:rsidRPr="004021C0" w14:paraId="0149D2E8" w14:textId="77777777" w:rsidTr="000B417A">
        <w:trPr>
          <w:trHeight w:val="300"/>
        </w:trPr>
        <w:tc>
          <w:tcPr>
            <w:tcW w:w="5360" w:type="dxa"/>
            <w:tcBorders>
              <w:top w:val="nil"/>
              <w:left w:val="nil"/>
              <w:bottom w:val="nil"/>
              <w:right w:val="nil"/>
            </w:tcBorders>
            <w:noWrap/>
            <w:vAlign w:val="bottom"/>
            <w:hideMark/>
          </w:tcPr>
          <w:p w14:paraId="4D2EDB9E" w14:textId="77777777" w:rsidR="004021C0" w:rsidRPr="004021C0" w:rsidRDefault="004021C0" w:rsidP="000B417A">
            <w:pPr>
              <w:spacing w:after="0"/>
              <w:rPr>
                <w:rFonts w:ascii="Arial" w:hAnsi="Arial" w:cs="Arial"/>
                <w:b/>
                <w:bCs/>
                <w:color w:val="000000"/>
                <w:sz w:val="24"/>
                <w:szCs w:val="24"/>
                <w:lang w:eastAsia="en-GB"/>
              </w:rPr>
            </w:pPr>
            <w:r w:rsidRPr="004021C0">
              <w:rPr>
                <w:rFonts w:ascii="Arial" w:hAnsi="Arial" w:cs="Arial"/>
                <w:b/>
                <w:bCs/>
                <w:color w:val="000000"/>
                <w:sz w:val="24"/>
                <w:szCs w:val="24"/>
                <w:lang w:eastAsia="en-GB"/>
              </w:rPr>
              <w:t>Number of Stage 1 Complaints (per 1,000 units)</w:t>
            </w:r>
          </w:p>
        </w:tc>
        <w:tc>
          <w:tcPr>
            <w:tcW w:w="1780" w:type="dxa"/>
            <w:tcBorders>
              <w:top w:val="nil"/>
              <w:left w:val="nil"/>
              <w:bottom w:val="nil"/>
              <w:right w:val="nil"/>
            </w:tcBorders>
            <w:noWrap/>
            <w:vAlign w:val="bottom"/>
            <w:hideMark/>
          </w:tcPr>
          <w:p w14:paraId="19AC2214" w14:textId="77777777" w:rsidR="004021C0" w:rsidRPr="004021C0" w:rsidRDefault="004021C0" w:rsidP="000B417A">
            <w:pPr>
              <w:spacing w:after="0"/>
              <w:jc w:val="center"/>
              <w:rPr>
                <w:rFonts w:ascii="Arial" w:hAnsi="Arial" w:cs="Arial"/>
                <w:b/>
                <w:bCs/>
                <w:color w:val="000000"/>
                <w:sz w:val="24"/>
                <w:szCs w:val="24"/>
                <w:lang w:eastAsia="en-GB"/>
              </w:rPr>
            </w:pPr>
            <w:r w:rsidRPr="004021C0">
              <w:rPr>
                <w:rFonts w:ascii="Arial" w:hAnsi="Arial" w:cs="Arial"/>
                <w:b/>
                <w:bCs/>
                <w:color w:val="000000"/>
                <w:sz w:val="24"/>
                <w:szCs w:val="24"/>
                <w:lang w:eastAsia="en-GB"/>
              </w:rPr>
              <w:t>10</w:t>
            </w:r>
          </w:p>
        </w:tc>
        <w:tc>
          <w:tcPr>
            <w:tcW w:w="960" w:type="dxa"/>
            <w:tcBorders>
              <w:top w:val="nil"/>
              <w:left w:val="nil"/>
              <w:bottom w:val="nil"/>
              <w:right w:val="nil"/>
            </w:tcBorders>
            <w:noWrap/>
            <w:vAlign w:val="bottom"/>
            <w:hideMark/>
          </w:tcPr>
          <w:p w14:paraId="7BA41F65" w14:textId="77777777" w:rsidR="004021C0" w:rsidRPr="004021C0" w:rsidRDefault="004021C0" w:rsidP="000B417A">
            <w:pPr>
              <w:spacing w:after="0"/>
              <w:jc w:val="center"/>
              <w:rPr>
                <w:rFonts w:ascii="Arial" w:hAnsi="Arial" w:cs="Arial"/>
                <w:b/>
                <w:bCs/>
                <w:color w:val="000000"/>
                <w:sz w:val="24"/>
                <w:szCs w:val="24"/>
                <w:lang w:eastAsia="en-GB"/>
              </w:rPr>
            </w:pPr>
          </w:p>
        </w:tc>
        <w:tc>
          <w:tcPr>
            <w:tcW w:w="960" w:type="dxa"/>
            <w:tcBorders>
              <w:top w:val="nil"/>
              <w:left w:val="nil"/>
              <w:bottom w:val="nil"/>
              <w:right w:val="nil"/>
            </w:tcBorders>
            <w:noWrap/>
            <w:vAlign w:val="bottom"/>
            <w:hideMark/>
          </w:tcPr>
          <w:p w14:paraId="6255667E" w14:textId="77777777" w:rsidR="004021C0" w:rsidRPr="004021C0" w:rsidRDefault="004021C0" w:rsidP="000B417A">
            <w:pPr>
              <w:spacing w:after="0"/>
              <w:jc w:val="center"/>
              <w:rPr>
                <w:rFonts w:ascii="Arial" w:hAnsi="Arial" w:cs="Arial"/>
                <w:b/>
                <w:bCs/>
                <w:color w:val="000000"/>
                <w:sz w:val="24"/>
                <w:szCs w:val="24"/>
                <w:lang w:eastAsia="en-GB"/>
              </w:rPr>
            </w:pPr>
            <w:r w:rsidRPr="004021C0">
              <w:rPr>
                <w:rFonts w:ascii="Arial" w:hAnsi="Arial" w:cs="Arial"/>
                <w:b/>
                <w:bCs/>
                <w:color w:val="000000"/>
                <w:sz w:val="24"/>
                <w:szCs w:val="24"/>
                <w:lang w:eastAsia="en-GB"/>
              </w:rPr>
              <w:t>17</w:t>
            </w:r>
          </w:p>
        </w:tc>
      </w:tr>
      <w:tr w:rsidR="004021C0" w:rsidRPr="004021C0" w14:paraId="55305E08" w14:textId="77777777" w:rsidTr="000B417A">
        <w:trPr>
          <w:trHeight w:val="300"/>
        </w:trPr>
        <w:tc>
          <w:tcPr>
            <w:tcW w:w="5360" w:type="dxa"/>
            <w:tcBorders>
              <w:top w:val="nil"/>
              <w:left w:val="nil"/>
              <w:bottom w:val="nil"/>
              <w:right w:val="nil"/>
            </w:tcBorders>
            <w:noWrap/>
            <w:vAlign w:val="bottom"/>
            <w:hideMark/>
          </w:tcPr>
          <w:p w14:paraId="082CCDAD" w14:textId="77777777" w:rsidR="004021C0" w:rsidRPr="004021C0" w:rsidRDefault="004021C0" w:rsidP="000B417A">
            <w:pPr>
              <w:spacing w:after="0"/>
              <w:jc w:val="center"/>
              <w:rPr>
                <w:rFonts w:ascii="Arial" w:hAnsi="Arial" w:cs="Arial"/>
                <w:b/>
                <w:bCs/>
                <w:color w:val="000000"/>
                <w:sz w:val="24"/>
                <w:szCs w:val="24"/>
                <w:lang w:eastAsia="en-GB"/>
              </w:rPr>
            </w:pPr>
          </w:p>
        </w:tc>
        <w:tc>
          <w:tcPr>
            <w:tcW w:w="1780" w:type="dxa"/>
            <w:tcBorders>
              <w:top w:val="nil"/>
              <w:left w:val="nil"/>
              <w:bottom w:val="nil"/>
              <w:right w:val="nil"/>
            </w:tcBorders>
            <w:noWrap/>
            <w:vAlign w:val="bottom"/>
            <w:hideMark/>
          </w:tcPr>
          <w:p w14:paraId="39DB0C96" w14:textId="77777777" w:rsidR="004021C0" w:rsidRPr="004021C0" w:rsidRDefault="004021C0" w:rsidP="000B417A">
            <w:pPr>
              <w:spacing w:after="0"/>
              <w:rPr>
                <w:rFonts w:ascii="Arial" w:hAnsi="Arial" w:cs="Arial"/>
                <w:sz w:val="24"/>
                <w:szCs w:val="24"/>
                <w:lang w:eastAsia="en-GB"/>
              </w:rPr>
            </w:pPr>
          </w:p>
        </w:tc>
        <w:tc>
          <w:tcPr>
            <w:tcW w:w="960" w:type="dxa"/>
            <w:tcBorders>
              <w:top w:val="nil"/>
              <w:left w:val="nil"/>
              <w:bottom w:val="nil"/>
              <w:right w:val="nil"/>
            </w:tcBorders>
            <w:noWrap/>
            <w:vAlign w:val="bottom"/>
            <w:hideMark/>
          </w:tcPr>
          <w:p w14:paraId="237EB850" w14:textId="77777777" w:rsidR="004021C0" w:rsidRPr="004021C0" w:rsidRDefault="004021C0" w:rsidP="000B417A">
            <w:pPr>
              <w:spacing w:after="0"/>
              <w:jc w:val="center"/>
              <w:rPr>
                <w:rFonts w:ascii="Arial" w:hAnsi="Arial" w:cs="Arial"/>
                <w:sz w:val="24"/>
                <w:szCs w:val="24"/>
                <w:lang w:eastAsia="en-GB"/>
              </w:rPr>
            </w:pPr>
          </w:p>
        </w:tc>
        <w:tc>
          <w:tcPr>
            <w:tcW w:w="960" w:type="dxa"/>
            <w:tcBorders>
              <w:top w:val="nil"/>
              <w:left w:val="nil"/>
              <w:bottom w:val="nil"/>
              <w:right w:val="nil"/>
            </w:tcBorders>
            <w:noWrap/>
            <w:vAlign w:val="bottom"/>
            <w:hideMark/>
          </w:tcPr>
          <w:p w14:paraId="4F71A0BD" w14:textId="77777777" w:rsidR="004021C0" w:rsidRPr="004021C0" w:rsidRDefault="004021C0" w:rsidP="000B417A">
            <w:pPr>
              <w:spacing w:after="0"/>
              <w:jc w:val="center"/>
              <w:rPr>
                <w:rFonts w:ascii="Arial" w:hAnsi="Arial" w:cs="Arial"/>
                <w:sz w:val="24"/>
                <w:szCs w:val="24"/>
                <w:lang w:eastAsia="en-GB"/>
              </w:rPr>
            </w:pPr>
          </w:p>
        </w:tc>
      </w:tr>
      <w:tr w:rsidR="004021C0" w:rsidRPr="004021C0" w14:paraId="5FB9EF9C" w14:textId="77777777" w:rsidTr="000B417A">
        <w:trPr>
          <w:trHeight w:val="300"/>
        </w:trPr>
        <w:tc>
          <w:tcPr>
            <w:tcW w:w="5360" w:type="dxa"/>
            <w:tcBorders>
              <w:top w:val="nil"/>
              <w:left w:val="nil"/>
              <w:bottom w:val="nil"/>
              <w:right w:val="nil"/>
            </w:tcBorders>
            <w:noWrap/>
            <w:vAlign w:val="bottom"/>
            <w:hideMark/>
          </w:tcPr>
          <w:p w14:paraId="3B943DE9" w14:textId="77777777" w:rsidR="004021C0" w:rsidRPr="004021C0" w:rsidRDefault="004021C0" w:rsidP="000B417A">
            <w:pPr>
              <w:spacing w:after="0"/>
              <w:rPr>
                <w:rFonts w:ascii="Arial" w:hAnsi="Arial" w:cs="Arial"/>
                <w:b/>
                <w:bCs/>
                <w:color w:val="000000"/>
                <w:sz w:val="24"/>
                <w:szCs w:val="24"/>
                <w:lang w:eastAsia="en-GB"/>
              </w:rPr>
            </w:pPr>
            <w:r w:rsidRPr="004021C0">
              <w:rPr>
                <w:rFonts w:ascii="Arial" w:hAnsi="Arial" w:cs="Arial"/>
                <w:b/>
                <w:bCs/>
                <w:color w:val="000000"/>
                <w:sz w:val="24"/>
                <w:szCs w:val="24"/>
                <w:lang w:eastAsia="en-GB"/>
              </w:rPr>
              <w:t>Number of Stage 2 complaints (per 1,000 units)</w:t>
            </w:r>
          </w:p>
        </w:tc>
        <w:tc>
          <w:tcPr>
            <w:tcW w:w="1780" w:type="dxa"/>
            <w:tcBorders>
              <w:top w:val="nil"/>
              <w:left w:val="nil"/>
              <w:bottom w:val="nil"/>
              <w:right w:val="nil"/>
            </w:tcBorders>
            <w:noWrap/>
            <w:vAlign w:val="bottom"/>
            <w:hideMark/>
          </w:tcPr>
          <w:p w14:paraId="4117E7CA" w14:textId="77777777" w:rsidR="004021C0" w:rsidRPr="004021C0" w:rsidRDefault="004021C0" w:rsidP="000B417A">
            <w:pPr>
              <w:spacing w:after="0"/>
              <w:jc w:val="center"/>
              <w:rPr>
                <w:rFonts w:ascii="Arial" w:hAnsi="Arial" w:cs="Arial"/>
                <w:b/>
                <w:bCs/>
                <w:color w:val="000000"/>
                <w:sz w:val="24"/>
                <w:szCs w:val="24"/>
                <w:lang w:eastAsia="en-GB"/>
              </w:rPr>
            </w:pPr>
            <w:r w:rsidRPr="004021C0">
              <w:rPr>
                <w:rFonts w:ascii="Arial" w:hAnsi="Arial" w:cs="Arial"/>
                <w:b/>
                <w:bCs/>
                <w:color w:val="000000"/>
                <w:sz w:val="24"/>
                <w:szCs w:val="24"/>
                <w:lang w:eastAsia="en-GB"/>
              </w:rPr>
              <w:t>n/a</w:t>
            </w:r>
          </w:p>
        </w:tc>
        <w:tc>
          <w:tcPr>
            <w:tcW w:w="960" w:type="dxa"/>
            <w:tcBorders>
              <w:top w:val="nil"/>
              <w:left w:val="nil"/>
              <w:bottom w:val="nil"/>
              <w:right w:val="nil"/>
            </w:tcBorders>
            <w:noWrap/>
            <w:vAlign w:val="bottom"/>
            <w:hideMark/>
          </w:tcPr>
          <w:p w14:paraId="4D24098C" w14:textId="77777777" w:rsidR="004021C0" w:rsidRPr="004021C0" w:rsidRDefault="004021C0" w:rsidP="000B417A">
            <w:pPr>
              <w:spacing w:after="0"/>
              <w:jc w:val="center"/>
              <w:rPr>
                <w:rFonts w:ascii="Arial" w:hAnsi="Arial" w:cs="Arial"/>
                <w:b/>
                <w:bCs/>
                <w:color w:val="000000"/>
                <w:sz w:val="24"/>
                <w:szCs w:val="24"/>
                <w:lang w:eastAsia="en-GB"/>
              </w:rPr>
            </w:pPr>
          </w:p>
        </w:tc>
        <w:tc>
          <w:tcPr>
            <w:tcW w:w="960" w:type="dxa"/>
            <w:tcBorders>
              <w:top w:val="nil"/>
              <w:left w:val="nil"/>
              <w:bottom w:val="nil"/>
              <w:right w:val="nil"/>
            </w:tcBorders>
            <w:noWrap/>
            <w:vAlign w:val="bottom"/>
            <w:hideMark/>
          </w:tcPr>
          <w:p w14:paraId="7A8F1F8A" w14:textId="77777777" w:rsidR="004021C0" w:rsidRPr="004021C0" w:rsidRDefault="004021C0" w:rsidP="000B417A">
            <w:pPr>
              <w:spacing w:after="0"/>
              <w:jc w:val="center"/>
              <w:rPr>
                <w:rFonts w:ascii="Arial" w:hAnsi="Arial" w:cs="Arial"/>
                <w:b/>
                <w:bCs/>
                <w:color w:val="000000"/>
                <w:sz w:val="24"/>
                <w:szCs w:val="24"/>
                <w:lang w:eastAsia="en-GB"/>
              </w:rPr>
            </w:pPr>
            <w:r w:rsidRPr="004021C0">
              <w:rPr>
                <w:rFonts w:ascii="Arial" w:hAnsi="Arial" w:cs="Arial"/>
                <w:b/>
                <w:bCs/>
                <w:color w:val="000000"/>
                <w:sz w:val="24"/>
                <w:szCs w:val="24"/>
                <w:lang w:eastAsia="en-GB"/>
              </w:rPr>
              <w:t>0</w:t>
            </w:r>
          </w:p>
        </w:tc>
      </w:tr>
      <w:tr w:rsidR="004021C0" w:rsidRPr="004021C0" w14:paraId="438C5A8E" w14:textId="77777777" w:rsidTr="000B417A">
        <w:trPr>
          <w:trHeight w:val="300"/>
        </w:trPr>
        <w:tc>
          <w:tcPr>
            <w:tcW w:w="5360" w:type="dxa"/>
            <w:tcBorders>
              <w:top w:val="nil"/>
              <w:left w:val="nil"/>
              <w:bottom w:val="nil"/>
              <w:right w:val="nil"/>
            </w:tcBorders>
            <w:noWrap/>
            <w:vAlign w:val="bottom"/>
            <w:hideMark/>
          </w:tcPr>
          <w:p w14:paraId="7B2A24E3" w14:textId="77777777" w:rsidR="004021C0" w:rsidRPr="004021C0" w:rsidRDefault="004021C0" w:rsidP="000B417A">
            <w:pPr>
              <w:spacing w:after="0"/>
              <w:jc w:val="center"/>
              <w:rPr>
                <w:rFonts w:ascii="Arial" w:hAnsi="Arial" w:cs="Arial"/>
                <w:b/>
                <w:bCs/>
                <w:color w:val="000000"/>
                <w:sz w:val="24"/>
                <w:szCs w:val="24"/>
                <w:lang w:eastAsia="en-GB"/>
              </w:rPr>
            </w:pPr>
          </w:p>
        </w:tc>
        <w:tc>
          <w:tcPr>
            <w:tcW w:w="1780" w:type="dxa"/>
            <w:tcBorders>
              <w:top w:val="nil"/>
              <w:left w:val="nil"/>
              <w:bottom w:val="nil"/>
              <w:right w:val="nil"/>
            </w:tcBorders>
            <w:noWrap/>
            <w:vAlign w:val="bottom"/>
            <w:hideMark/>
          </w:tcPr>
          <w:p w14:paraId="1AD603EA" w14:textId="77777777" w:rsidR="004021C0" w:rsidRPr="004021C0" w:rsidRDefault="004021C0" w:rsidP="000B417A">
            <w:pPr>
              <w:spacing w:after="0"/>
              <w:rPr>
                <w:rFonts w:ascii="Arial" w:hAnsi="Arial" w:cs="Arial"/>
                <w:sz w:val="24"/>
                <w:szCs w:val="24"/>
                <w:lang w:eastAsia="en-GB"/>
              </w:rPr>
            </w:pPr>
          </w:p>
        </w:tc>
        <w:tc>
          <w:tcPr>
            <w:tcW w:w="960" w:type="dxa"/>
            <w:tcBorders>
              <w:top w:val="nil"/>
              <w:left w:val="nil"/>
              <w:bottom w:val="nil"/>
              <w:right w:val="nil"/>
            </w:tcBorders>
            <w:noWrap/>
            <w:vAlign w:val="bottom"/>
            <w:hideMark/>
          </w:tcPr>
          <w:p w14:paraId="1F60EDC5" w14:textId="77777777" w:rsidR="004021C0" w:rsidRPr="004021C0" w:rsidRDefault="004021C0" w:rsidP="000B417A">
            <w:pPr>
              <w:spacing w:after="0"/>
              <w:jc w:val="center"/>
              <w:rPr>
                <w:rFonts w:ascii="Arial" w:hAnsi="Arial" w:cs="Arial"/>
                <w:sz w:val="24"/>
                <w:szCs w:val="24"/>
                <w:lang w:eastAsia="en-GB"/>
              </w:rPr>
            </w:pPr>
          </w:p>
        </w:tc>
        <w:tc>
          <w:tcPr>
            <w:tcW w:w="960" w:type="dxa"/>
            <w:tcBorders>
              <w:top w:val="nil"/>
              <w:left w:val="nil"/>
              <w:bottom w:val="nil"/>
              <w:right w:val="nil"/>
            </w:tcBorders>
            <w:noWrap/>
            <w:vAlign w:val="bottom"/>
            <w:hideMark/>
          </w:tcPr>
          <w:p w14:paraId="648E5629" w14:textId="77777777" w:rsidR="004021C0" w:rsidRPr="004021C0" w:rsidRDefault="004021C0" w:rsidP="000B417A">
            <w:pPr>
              <w:spacing w:after="0"/>
              <w:jc w:val="center"/>
              <w:rPr>
                <w:rFonts w:ascii="Arial" w:hAnsi="Arial" w:cs="Arial"/>
                <w:sz w:val="24"/>
                <w:szCs w:val="24"/>
                <w:lang w:eastAsia="en-GB"/>
              </w:rPr>
            </w:pPr>
          </w:p>
        </w:tc>
      </w:tr>
      <w:tr w:rsidR="004021C0" w:rsidRPr="004021C0" w14:paraId="63D4ADB4" w14:textId="77777777" w:rsidTr="000B417A">
        <w:trPr>
          <w:trHeight w:val="600"/>
        </w:trPr>
        <w:tc>
          <w:tcPr>
            <w:tcW w:w="5360" w:type="dxa"/>
            <w:tcBorders>
              <w:top w:val="nil"/>
              <w:left w:val="nil"/>
              <w:bottom w:val="nil"/>
              <w:right w:val="nil"/>
            </w:tcBorders>
            <w:vAlign w:val="bottom"/>
            <w:hideMark/>
          </w:tcPr>
          <w:p w14:paraId="7A7AD67E" w14:textId="77777777" w:rsidR="004021C0" w:rsidRPr="004021C0" w:rsidRDefault="004021C0" w:rsidP="000B417A">
            <w:pPr>
              <w:spacing w:after="0"/>
              <w:rPr>
                <w:rFonts w:ascii="Arial" w:hAnsi="Arial" w:cs="Arial"/>
                <w:b/>
                <w:bCs/>
                <w:color w:val="000000"/>
                <w:sz w:val="24"/>
                <w:szCs w:val="24"/>
                <w:lang w:eastAsia="en-GB"/>
              </w:rPr>
            </w:pPr>
            <w:r w:rsidRPr="004021C0">
              <w:rPr>
                <w:rFonts w:ascii="Arial" w:hAnsi="Arial" w:cs="Arial"/>
                <w:b/>
                <w:bCs/>
                <w:color w:val="000000"/>
                <w:sz w:val="24"/>
                <w:szCs w:val="24"/>
                <w:lang w:eastAsia="en-GB"/>
              </w:rPr>
              <w:t>Stage 1 Complaints responded to within the Complaint Handling Code timescales</w:t>
            </w:r>
          </w:p>
        </w:tc>
        <w:tc>
          <w:tcPr>
            <w:tcW w:w="1780" w:type="dxa"/>
            <w:tcBorders>
              <w:top w:val="nil"/>
              <w:left w:val="nil"/>
              <w:bottom w:val="nil"/>
              <w:right w:val="nil"/>
            </w:tcBorders>
            <w:noWrap/>
            <w:vAlign w:val="bottom"/>
            <w:hideMark/>
          </w:tcPr>
          <w:p w14:paraId="5583A8F7" w14:textId="77777777" w:rsidR="004021C0" w:rsidRPr="004021C0" w:rsidRDefault="004021C0" w:rsidP="000B417A">
            <w:pPr>
              <w:spacing w:after="0"/>
              <w:jc w:val="center"/>
              <w:rPr>
                <w:rFonts w:ascii="Arial" w:hAnsi="Arial" w:cs="Arial"/>
                <w:b/>
                <w:bCs/>
                <w:color w:val="000000"/>
                <w:sz w:val="24"/>
                <w:szCs w:val="24"/>
                <w:lang w:eastAsia="en-GB"/>
              </w:rPr>
            </w:pPr>
            <w:r w:rsidRPr="004021C0">
              <w:rPr>
                <w:rFonts w:ascii="Arial" w:hAnsi="Arial" w:cs="Arial"/>
                <w:b/>
                <w:bCs/>
                <w:color w:val="000000"/>
                <w:sz w:val="24"/>
                <w:szCs w:val="24"/>
                <w:lang w:eastAsia="en-GB"/>
              </w:rPr>
              <w:t>100%</w:t>
            </w:r>
          </w:p>
        </w:tc>
        <w:tc>
          <w:tcPr>
            <w:tcW w:w="960" w:type="dxa"/>
            <w:tcBorders>
              <w:top w:val="nil"/>
              <w:left w:val="nil"/>
              <w:bottom w:val="nil"/>
              <w:right w:val="nil"/>
            </w:tcBorders>
            <w:noWrap/>
            <w:vAlign w:val="bottom"/>
            <w:hideMark/>
          </w:tcPr>
          <w:p w14:paraId="36F5FC0D" w14:textId="77777777" w:rsidR="004021C0" w:rsidRPr="004021C0" w:rsidRDefault="004021C0" w:rsidP="000B417A">
            <w:pPr>
              <w:spacing w:after="0"/>
              <w:jc w:val="center"/>
              <w:rPr>
                <w:rFonts w:ascii="Arial" w:hAnsi="Arial" w:cs="Arial"/>
                <w:b/>
                <w:bCs/>
                <w:color w:val="000000"/>
                <w:sz w:val="24"/>
                <w:szCs w:val="24"/>
                <w:lang w:eastAsia="en-GB"/>
              </w:rPr>
            </w:pPr>
          </w:p>
        </w:tc>
        <w:tc>
          <w:tcPr>
            <w:tcW w:w="960" w:type="dxa"/>
            <w:tcBorders>
              <w:top w:val="nil"/>
              <w:left w:val="nil"/>
              <w:bottom w:val="nil"/>
              <w:right w:val="nil"/>
            </w:tcBorders>
            <w:noWrap/>
            <w:vAlign w:val="bottom"/>
            <w:hideMark/>
          </w:tcPr>
          <w:p w14:paraId="15D33CEB" w14:textId="77777777" w:rsidR="004021C0" w:rsidRPr="004021C0" w:rsidRDefault="004021C0" w:rsidP="000B417A">
            <w:pPr>
              <w:spacing w:after="0"/>
              <w:jc w:val="center"/>
              <w:rPr>
                <w:rFonts w:ascii="Arial" w:hAnsi="Arial" w:cs="Arial"/>
                <w:b/>
                <w:bCs/>
                <w:color w:val="000000"/>
                <w:sz w:val="24"/>
                <w:szCs w:val="24"/>
                <w:lang w:eastAsia="en-GB"/>
              </w:rPr>
            </w:pPr>
            <w:r w:rsidRPr="004021C0">
              <w:rPr>
                <w:rFonts w:ascii="Arial" w:hAnsi="Arial" w:cs="Arial"/>
                <w:b/>
                <w:bCs/>
                <w:color w:val="000000"/>
                <w:sz w:val="24"/>
                <w:szCs w:val="24"/>
                <w:lang w:eastAsia="en-GB"/>
              </w:rPr>
              <w:t>83%</w:t>
            </w:r>
          </w:p>
        </w:tc>
      </w:tr>
      <w:tr w:rsidR="004021C0" w:rsidRPr="004021C0" w14:paraId="4D991F34" w14:textId="77777777" w:rsidTr="000B417A">
        <w:trPr>
          <w:trHeight w:val="300"/>
        </w:trPr>
        <w:tc>
          <w:tcPr>
            <w:tcW w:w="5360" w:type="dxa"/>
            <w:tcBorders>
              <w:top w:val="nil"/>
              <w:left w:val="nil"/>
              <w:bottom w:val="nil"/>
              <w:right w:val="nil"/>
            </w:tcBorders>
            <w:noWrap/>
            <w:vAlign w:val="bottom"/>
            <w:hideMark/>
          </w:tcPr>
          <w:p w14:paraId="7118C447" w14:textId="77777777" w:rsidR="004021C0" w:rsidRPr="004021C0" w:rsidRDefault="004021C0" w:rsidP="000B417A">
            <w:pPr>
              <w:spacing w:after="0"/>
              <w:jc w:val="center"/>
              <w:rPr>
                <w:rFonts w:ascii="Arial" w:hAnsi="Arial" w:cs="Arial"/>
                <w:b/>
                <w:bCs/>
                <w:color w:val="000000"/>
                <w:sz w:val="24"/>
                <w:szCs w:val="24"/>
                <w:lang w:eastAsia="en-GB"/>
              </w:rPr>
            </w:pPr>
          </w:p>
        </w:tc>
        <w:tc>
          <w:tcPr>
            <w:tcW w:w="1780" w:type="dxa"/>
            <w:tcBorders>
              <w:top w:val="nil"/>
              <w:left w:val="nil"/>
              <w:bottom w:val="nil"/>
              <w:right w:val="nil"/>
            </w:tcBorders>
            <w:noWrap/>
            <w:vAlign w:val="bottom"/>
            <w:hideMark/>
          </w:tcPr>
          <w:p w14:paraId="5E2EDB97" w14:textId="77777777" w:rsidR="004021C0" w:rsidRPr="004021C0" w:rsidRDefault="004021C0" w:rsidP="000B417A">
            <w:pPr>
              <w:spacing w:after="0"/>
              <w:rPr>
                <w:rFonts w:ascii="Arial" w:hAnsi="Arial" w:cs="Arial"/>
                <w:sz w:val="24"/>
                <w:szCs w:val="24"/>
                <w:lang w:eastAsia="en-GB"/>
              </w:rPr>
            </w:pPr>
          </w:p>
        </w:tc>
        <w:tc>
          <w:tcPr>
            <w:tcW w:w="960" w:type="dxa"/>
            <w:tcBorders>
              <w:top w:val="nil"/>
              <w:left w:val="nil"/>
              <w:bottom w:val="nil"/>
              <w:right w:val="nil"/>
            </w:tcBorders>
            <w:noWrap/>
            <w:vAlign w:val="bottom"/>
            <w:hideMark/>
          </w:tcPr>
          <w:p w14:paraId="46AB1D2D" w14:textId="77777777" w:rsidR="004021C0" w:rsidRPr="004021C0" w:rsidRDefault="004021C0" w:rsidP="000B417A">
            <w:pPr>
              <w:spacing w:after="0"/>
              <w:jc w:val="center"/>
              <w:rPr>
                <w:rFonts w:ascii="Arial" w:hAnsi="Arial" w:cs="Arial"/>
                <w:sz w:val="24"/>
                <w:szCs w:val="24"/>
                <w:lang w:eastAsia="en-GB"/>
              </w:rPr>
            </w:pPr>
          </w:p>
        </w:tc>
        <w:tc>
          <w:tcPr>
            <w:tcW w:w="960" w:type="dxa"/>
            <w:tcBorders>
              <w:top w:val="nil"/>
              <w:left w:val="nil"/>
              <w:bottom w:val="nil"/>
              <w:right w:val="nil"/>
            </w:tcBorders>
            <w:noWrap/>
            <w:vAlign w:val="bottom"/>
            <w:hideMark/>
          </w:tcPr>
          <w:p w14:paraId="2D8B21B6" w14:textId="77777777" w:rsidR="004021C0" w:rsidRPr="004021C0" w:rsidRDefault="004021C0" w:rsidP="000B417A">
            <w:pPr>
              <w:spacing w:after="0"/>
              <w:jc w:val="center"/>
              <w:rPr>
                <w:rFonts w:ascii="Arial" w:hAnsi="Arial" w:cs="Arial"/>
                <w:sz w:val="24"/>
                <w:szCs w:val="24"/>
                <w:lang w:eastAsia="en-GB"/>
              </w:rPr>
            </w:pPr>
          </w:p>
        </w:tc>
      </w:tr>
      <w:tr w:rsidR="004021C0" w:rsidRPr="004021C0" w14:paraId="04E18705" w14:textId="77777777" w:rsidTr="000B417A">
        <w:trPr>
          <w:trHeight w:val="600"/>
        </w:trPr>
        <w:tc>
          <w:tcPr>
            <w:tcW w:w="5360" w:type="dxa"/>
            <w:tcBorders>
              <w:top w:val="nil"/>
              <w:left w:val="nil"/>
              <w:bottom w:val="nil"/>
              <w:right w:val="nil"/>
            </w:tcBorders>
            <w:vAlign w:val="bottom"/>
            <w:hideMark/>
          </w:tcPr>
          <w:p w14:paraId="064EF0CD" w14:textId="77777777" w:rsidR="004021C0" w:rsidRPr="004021C0" w:rsidRDefault="004021C0" w:rsidP="000B417A">
            <w:pPr>
              <w:spacing w:after="0"/>
              <w:rPr>
                <w:rFonts w:ascii="Arial" w:hAnsi="Arial" w:cs="Arial"/>
                <w:b/>
                <w:bCs/>
                <w:color w:val="000000"/>
                <w:sz w:val="24"/>
                <w:szCs w:val="24"/>
                <w:lang w:eastAsia="en-GB"/>
              </w:rPr>
            </w:pPr>
            <w:r w:rsidRPr="004021C0">
              <w:rPr>
                <w:rFonts w:ascii="Arial" w:hAnsi="Arial" w:cs="Arial"/>
                <w:b/>
                <w:bCs/>
                <w:color w:val="000000"/>
                <w:sz w:val="24"/>
                <w:szCs w:val="24"/>
                <w:lang w:eastAsia="en-GB"/>
              </w:rPr>
              <w:t>Stage 2 Complaints responded to within the Complaint Handling Code timescales</w:t>
            </w:r>
          </w:p>
        </w:tc>
        <w:tc>
          <w:tcPr>
            <w:tcW w:w="1780" w:type="dxa"/>
            <w:tcBorders>
              <w:top w:val="nil"/>
              <w:left w:val="nil"/>
              <w:bottom w:val="nil"/>
              <w:right w:val="nil"/>
            </w:tcBorders>
            <w:noWrap/>
            <w:vAlign w:val="bottom"/>
            <w:hideMark/>
          </w:tcPr>
          <w:p w14:paraId="1D7892F6" w14:textId="77777777" w:rsidR="004021C0" w:rsidRPr="004021C0" w:rsidRDefault="004021C0" w:rsidP="000B417A">
            <w:pPr>
              <w:spacing w:after="0"/>
              <w:jc w:val="center"/>
              <w:rPr>
                <w:rFonts w:ascii="Arial" w:hAnsi="Arial" w:cs="Arial"/>
                <w:b/>
                <w:bCs/>
                <w:color w:val="000000"/>
                <w:sz w:val="24"/>
                <w:szCs w:val="24"/>
                <w:lang w:eastAsia="en-GB"/>
              </w:rPr>
            </w:pPr>
            <w:r w:rsidRPr="004021C0">
              <w:rPr>
                <w:rFonts w:ascii="Arial" w:hAnsi="Arial" w:cs="Arial"/>
                <w:b/>
                <w:bCs/>
                <w:color w:val="000000"/>
                <w:sz w:val="24"/>
                <w:szCs w:val="24"/>
                <w:lang w:eastAsia="en-GB"/>
              </w:rPr>
              <w:t>n/a</w:t>
            </w:r>
          </w:p>
        </w:tc>
        <w:tc>
          <w:tcPr>
            <w:tcW w:w="960" w:type="dxa"/>
            <w:tcBorders>
              <w:top w:val="nil"/>
              <w:left w:val="nil"/>
              <w:bottom w:val="nil"/>
              <w:right w:val="nil"/>
            </w:tcBorders>
            <w:noWrap/>
            <w:vAlign w:val="bottom"/>
            <w:hideMark/>
          </w:tcPr>
          <w:p w14:paraId="35AA9A78" w14:textId="77777777" w:rsidR="004021C0" w:rsidRPr="004021C0" w:rsidRDefault="004021C0" w:rsidP="000B417A">
            <w:pPr>
              <w:spacing w:after="0"/>
              <w:jc w:val="center"/>
              <w:rPr>
                <w:rFonts w:ascii="Arial" w:hAnsi="Arial" w:cs="Arial"/>
                <w:b/>
                <w:bCs/>
                <w:color w:val="000000"/>
                <w:sz w:val="24"/>
                <w:szCs w:val="24"/>
                <w:lang w:eastAsia="en-GB"/>
              </w:rPr>
            </w:pPr>
          </w:p>
        </w:tc>
        <w:tc>
          <w:tcPr>
            <w:tcW w:w="960" w:type="dxa"/>
            <w:tcBorders>
              <w:top w:val="nil"/>
              <w:left w:val="nil"/>
              <w:bottom w:val="nil"/>
              <w:right w:val="nil"/>
            </w:tcBorders>
            <w:noWrap/>
            <w:vAlign w:val="bottom"/>
            <w:hideMark/>
          </w:tcPr>
          <w:p w14:paraId="6CF4C2C9" w14:textId="77777777" w:rsidR="004021C0" w:rsidRPr="004021C0" w:rsidRDefault="004021C0" w:rsidP="000B417A">
            <w:pPr>
              <w:spacing w:after="0"/>
              <w:jc w:val="center"/>
              <w:rPr>
                <w:rFonts w:ascii="Arial" w:hAnsi="Arial" w:cs="Arial"/>
                <w:b/>
                <w:bCs/>
                <w:color w:val="000000"/>
                <w:sz w:val="24"/>
                <w:szCs w:val="24"/>
                <w:lang w:eastAsia="en-GB"/>
              </w:rPr>
            </w:pPr>
            <w:r w:rsidRPr="004021C0">
              <w:rPr>
                <w:rFonts w:ascii="Arial" w:hAnsi="Arial" w:cs="Arial"/>
                <w:b/>
                <w:bCs/>
                <w:color w:val="000000"/>
                <w:sz w:val="24"/>
                <w:szCs w:val="24"/>
                <w:lang w:eastAsia="en-GB"/>
              </w:rPr>
              <w:t>62.50%</w:t>
            </w:r>
          </w:p>
        </w:tc>
      </w:tr>
    </w:tbl>
    <w:p w14:paraId="085C5525" w14:textId="77777777" w:rsidR="004021C0" w:rsidRPr="004021C0" w:rsidRDefault="004021C0">
      <w:pPr>
        <w:rPr>
          <w:rFonts w:ascii="Arial" w:hAnsi="Arial" w:cs="Arial"/>
          <w:sz w:val="24"/>
          <w:szCs w:val="24"/>
          <w:lang w:val="en-US"/>
        </w:rPr>
      </w:pPr>
    </w:p>
    <w:p w14:paraId="6317FA6A" w14:textId="77777777" w:rsidR="004021C0" w:rsidRPr="004021C0" w:rsidRDefault="004021C0">
      <w:pPr>
        <w:rPr>
          <w:rFonts w:ascii="Arial" w:hAnsi="Arial" w:cs="Arial"/>
          <w:sz w:val="24"/>
          <w:szCs w:val="24"/>
          <w:lang w:val="en-US"/>
        </w:rPr>
      </w:pPr>
    </w:p>
    <w:p w14:paraId="0410E897" w14:textId="77777777" w:rsidR="004021C0" w:rsidRDefault="004021C0" w:rsidP="004021C0">
      <w:pPr>
        <w:rPr>
          <w:rFonts w:ascii="Arial" w:hAnsi="Arial" w:cs="Arial"/>
          <w:sz w:val="24"/>
          <w:szCs w:val="24"/>
        </w:rPr>
      </w:pPr>
      <w:r w:rsidRPr="004021C0">
        <w:rPr>
          <w:rFonts w:ascii="Arial" w:hAnsi="Arial" w:cs="Arial"/>
          <w:sz w:val="24"/>
          <w:szCs w:val="24"/>
        </w:rPr>
        <w:t xml:space="preserve">As Stage 2 of the Association’s Complaints Policy involves the Board dealing with any appeals against decisions made at Stage 1 through an Appeals Panel the details of each case are not covered in detail in this report. </w:t>
      </w:r>
      <w:proofErr w:type="gramStart"/>
      <w:r w:rsidRPr="004021C0">
        <w:rPr>
          <w:rFonts w:ascii="Arial" w:hAnsi="Arial" w:cs="Arial"/>
          <w:sz w:val="24"/>
          <w:szCs w:val="24"/>
        </w:rPr>
        <w:t>However</w:t>
      </w:r>
      <w:proofErr w:type="gramEnd"/>
      <w:r w:rsidRPr="004021C0">
        <w:rPr>
          <w:rFonts w:ascii="Arial" w:hAnsi="Arial" w:cs="Arial"/>
          <w:sz w:val="24"/>
          <w:szCs w:val="24"/>
        </w:rPr>
        <w:t xml:space="preserve"> the Board member Responsible for Complaints will review each case with the Complaints Manager as a separate exercise.</w:t>
      </w:r>
    </w:p>
    <w:p w14:paraId="4D3E4209" w14:textId="77777777" w:rsidR="006E5D9A" w:rsidRDefault="006E5D9A" w:rsidP="004021C0">
      <w:pPr>
        <w:rPr>
          <w:rFonts w:ascii="Arial" w:hAnsi="Arial" w:cs="Arial"/>
          <w:sz w:val="24"/>
          <w:szCs w:val="24"/>
        </w:rPr>
      </w:pPr>
    </w:p>
    <w:p w14:paraId="6464A87B" w14:textId="77777777" w:rsidR="006E5D9A" w:rsidRDefault="006E5D9A" w:rsidP="004021C0">
      <w:pPr>
        <w:rPr>
          <w:rFonts w:ascii="Arial" w:hAnsi="Arial" w:cs="Arial"/>
          <w:sz w:val="24"/>
          <w:szCs w:val="24"/>
        </w:rPr>
      </w:pPr>
    </w:p>
    <w:p w14:paraId="1903CAE7" w14:textId="77777777" w:rsidR="006E5D9A" w:rsidRDefault="006E5D9A" w:rsidP="004021C0">
      <w:pPr>
        <w:rPr>
          <w:rFonts w:ascii="Arial" w:hAnsi="Arial" w:cs="Arial"/>
          <w:sz w:val="24"/>
          <w:szCs w:val="24"/>
        </w:rPr>
      </w:pPr>
    </w:p>
    <w:p w14:paraId="26D2C259" w14:textId="77777777" w:rsidR="006E5D9A" w:rsidRPr="004021C0" w:rsidRDefault="006E5D9A" w:rsidP="004021C0">
      <w:pPr>
        <w:rPr>
          <w:rFonts w:ascii="Arial" w:hAnsi="Arial" w:cs="Arial"/>
          <w:sz w:val="24"/>
          <w:szCs w:val="24"/>
        </w:rPr>
      </w:pPr>
    </w:p>
    <w:p w14:paraId="17B7A1E1" w14:textId="77777777" w:rsidR="004021C0" w:rsidRPr="004021C0" w:rsidRDefault="004021C0" w:rsidP="004021C0">
      <w:pPr>
        <w:rPr>
          <w:rFonts w:ascii="Arial" w:hAnsi="Arial" w:cs="Arial"/>
          <w:sz w:val="24"/>
          <w:szCs w:val="24"/>
        </w:rPr>
      </w:pPr>
    </w:p>
    <w:p w14:paraId="7AC9F0FA" w14:textId="77777777" w:rsidR="004021C0" w:rsidRPr="004021C0" w:rsidRDefault="004021C0" w:rsidP="004021C0">
      <w:pPr>
        <w:rPr>
          <w:rFonts w:ascii="Arial" w:hAnsi="Arial" w:cs="Arial"/>
          <w:sz w:val="24"/>
          <w:szCs w:val="24"/>
        </w:rPr>
      </w:pPr>
      <w:r w:rsidRPr="004021C0">
        <w:rPr>
          <w:rFonts w:ascii="Arial" w:hAnsi="Arial" w:cs="Arial"/>
          <w:b/>
          <w:bCs/>
          <w:sz w:val="24"/>
          <w:szCs w:val="24"/>
        </w:rPr>
        <w:lastRenderedPageBreak/>
        <w:t>Complaint 1</w:t>
      </w:r>
      <w:r w:rsidRPr="004021C0">
        <w:rPr>
          <w:rFonts w:ascii="Arial" w:hAnsi="Arial" w:cs="Arial"/>
          <w:sz w:val="24"/>
          <w:szCs w:val="24"/>
        </w:rPr>
        <w:t xml:space="preserve"> was from a tenant who complained about the case management of their rent arrears by the Association’s Housing Officer. The rent arrears were over £1,000 (so </w:t>
      </w:r>
      <w:proofErr w:type="gramStart"/>
      <w:r w:rsidRPr="004021C0">
        <w:rPr>
          <w:rFonts w:ascii="Arial" w:hAnsi="Arial" w:cs="Arial"/>
          <w:sz w:val="24"/>
          <w:szCs w:val="24"/>
        </w:rPr>
        <w:t>in excess of</w:t>
      </w:r>
      <w:proofErr w:type="gramEnd"/>
      <w:r w:rsidRPr="004021C0">
        <w:rPr>
          <w:rFonts w:ascii="Arial" w:hAnsi="Arial" w:cs="Arial"/>
          <w:sz w:val="24"/>
          <w:szCs w:val="24"/>
        </w:rPr>
        <w:t xml:space="preserve"> 8 weeks rent) and the Association was preparing to issue a Notice of Seeking Possession. </w:t>
      </w:r>
    </w:p>
    <w:p w14:paraId="302EA886" w14:textId="77777777" w:rsidR="004021C0" w:rsidRPr="004021C0" w:rsidRDefault="004021C0" w:rsidP="004021C0">
      <w:pPr>
        <w:rPr>
          <w:rFonts w:ascii="Arial" w:hAnsi="Arial" w:cs="Arial"/>
          <w:sz w:val="24"/>
          <w:szCs w:val="24"/>
        </w:rPr>
      </w:pPr>
    </w:p>
    <w:p w14:paraId="32CB0751" w14:textId="77777777" w:rsidR="006E5D9A" w:rsidRDefault="004021C0" w:rsidP="004021C0">
      <w:pPr>
        <w:rPr>
          <w:rFonts w:ascii="Arial" w:hAnsi="Arial" w:cs="Arial"/>
          <w:sz w:val="24"/>
          <w:szCs w:val="24"/>
        </w:rPr>
      </w:pPr>
      <w:r w:rsidRPr="004021C0">
        <w:rPr>
          <w:rFonts w:ascii="Arial" w:hAnsi="Arial" w:cs="Arial"/>
          <w:sz w:val="24"/>
          <w:szCs w:val="24"/>
        </w:rPr>
        <w:t xml:space="preserve">The account had been in arrears for over a </w:t>
      </w:r>
      <w:proofErr w:type="gramStart"/>
      <w:r w:rsidRPr="004021C0">
        <w:rPr>
          <w:rFonts w:ascii="Arial" w:hAnsi="Arial" w:cs="Arial"/>
          <w:sz w:val="24"/>
          <w:szCs w:val="24"/>
        </w:rPr>
        <w:t>year</w:t>
      </w:r>
      <w:proofErr w:type="gramEnd"/>
      <w:r w:rsidRPr="004021C0">
        <w:rPr>
          <w:rFonts w:ascii="Arial" w:hAnsi="Arial" w:cs="Arial"/>
          <w:sz w:val="24"/>
          <w:szCs w:val="24"/>
        </w:rPr>
        <w:t xml:space="preserve"> and the tenant had previously been subject to a suspended possession order until clearing that </w:t>
      </w:r>
      <w:proofErr w:type="gramStart"/>
      <w:r w:rsidRPr="004021C0">
        <w:rPr>
          <w:rFonts w:ascii="Arial" w:hAnsi="Arial" w:cs="Arial"/>
          <w:sz w:val="24"/>
          <w:szCs w:val="24"/>
        </w:rPr>
        <w:t>particular debt</w:t>
      </w:r>
      <w:proofErr w:type="gramEnd"/>
      <w:r w:rsidRPr="004021C0">
        <w:rPr>
          <w:rFonts w:ascii="Arial" w:hAnsi="Arial" w:cs="Arial"/>
          <w:sz w:val="24"/>
          <w:szCs w:val="24"/>
        </w:rPr>
        <w:t xml:space="preserve"> in 2023. The tenant made </w:t>
      </w:r>
      <w:proofErr w:type="gramStart"/>
      <w:r w:rsidRPr="004021C0">
        <w:rPr>
          <w:rFonts w:ascii="Arial" w:hAnsi="Arial" w:cs="Arial"/>
          <w:sz w:val="24"/>
          <w:szCs w:val="24"/>
        </w:rPr>
        <w:t>a number of</w:t>
      </w:r>
      <w:proofErr w:type="gramEnd"/>
      <w:r w:rsidRPr="004021C0">
        <w:rPr>
          <w:rFonts w:ascii="Arial" w:hAnsi="Arial" w:cs="Arial"/>
          <w:sz w:val="24"/>
          <w:szCs w:val="24"/>
        </w:rPr>
        <w:t xml:space="preserve"> offers of payment that did not include any payment to reduce the arrears. </w:t>
      </w:r>
    </w:p>
    <w:p w14:paraId="25C85BD6" w14:textId="77777777" w:rsidR="006E5D9A" w:rsidRDefault="006E5D9A" w:rsidP="004021C0">
      <w:pPr>
        <w:rPr>
          <w:rFonts w:ascii="Arial" w:hAnsi="Arial" w:cs="Arial"/>
          <w:sz w:val="24"/>
          <w:szCs w:val="24"/>
        </w:rPr>
      </w:pPr>
    </w:p>
    <w:p w14:paraId="0903E058" w14:textId="31E47E27" w:rsidR="004021C0" w:rsidRPr="004021C0" w:rsidRDefault="004021C0" w:rsidP="004021C0">
      <w:pPr>
        <w:rPr>
          <w:rFonts w:ascii="Arial" w:hAnsi="Arial" w:cs="Arial"/>
          <w:sz w:val="24"/>
          <w:szCs w:val="24"/>
        </w:rPr>
      </w:pPr>
      <w:r w:rsidRPr="004021C0">
        <w:rPr>
          <w:rFonts w:ascii="Arial" w:hAnsi="Arial" w:cs="Arial"/>
          <w:sz w:val="24"/>
          <w:szCs w:val="24"/>
        </w:rPr>
        <w:t xml:space="preserve">This was not acceptable to the </w:t>
      </w:r>
      <w:proofErr w:type="gramStart"/>
      <w:r w:rsidRPr="004021C0">
        <w:rPr>
          <w:rFonts w:ascii="Arial" w:hAnsi="Arial" w:cs="Arial"/>
          <w:sz w:val="24"/>
          <w:szCs w:val="24"/>
        </w:rPr>
        <w:t>Association</w:t>
      </w:r>
      <w:proofErr w:type="gramEnd"/>
      <w:r w:rsidRPr="004021C0">
        <w:rPr>
          <w:rFonts w:ascii="Arial" w:hAnsi="Arial" w:cs="Arial"/>
          <w:sz w:val="24"/>
          <w:szCs w:val="24"/>
        </w:rPr>
        <w:t xml:space="preserve"> and the tenant was made aware that the Arrears Procedure would be adhered to. The tenant registered a complaint about how the case had been managed and the conduct of the officers who had dealt with the case.</w:t>
      </w:r>
    </w:p>
    <w:p w14:paraId="74C24444" w14:textId="77777777" w:rsidR="004021C0" w:rsidRPr="004021C0" w:rsidRDefault="004021C0" w:rsidP="004021C0">
      <w:pPr>
        <w:rPr>
          <w:rFonts w:ascii="Arial" w:hAnsi="Arial" w:cs="Arial"/>
          <w:sz w:val="24"/>
          <w:szCs w:val="24"/>
        </w:rPr>
      </w:pPr>
      <w:r w:rsidRPr="004021C0">
        <w:rPr>
          <w:rFonts w:ascii="Arial" w:hAnsi="Arial" w:cs="Arial"/>
          <w:sz w:val="24"/>
          <w:szCs w:val="24"/>
        </w:rPr>
        <w:t>The Complaints Manager examined all documentation including notes of phone calls and e-mails and concluded that the Association had correctly followed its own procedures and all transactions had been professional and appropriate.</w:t>
      </w:r>
    </w:p>
    <w:p w14:paraId="5BC1DCA9" w14:textId="77777777" w:rsidR="004021C0" w:rsidRPr="004021C0" w:rsidRDefault="004021C0" w:rsidP="004021C0">
      <w:pPr>
        <w:rPr>
          <w:rFonts w:ascii="Arial" w:hAnsi="Arial" w:cs="Arial"/>
          <w:sz w:val="24"/>
          <w:szCs w:val="24"/>
        </w:rPr>
      </w:pPr>
    </w:p>
    <w:p w14:paraId="373B3841" w14:textId="77777777" w:rsidR="004021C0" w:rsidRPr="004021C0" w:rsidRDefault="004021C0" w:rsidP="004021C0">
      <w:pPr>
        <w:rPr>
          <w:rFonts w:ascii="Arial" w:hAnsi="Arial" w:cs="Arial"/>
          <w:sz w:val="24"/>
          <w:szCs w:val="24"/>
        </w:rPr>
      </w:pPr>
      <w:r w:rsidRPr="004021C0">
        <w:rPr>
          <w:rFonts w:ascii="Arial" w:hAnsi="Arial" w:cs="Arial"/>
          <w:sz w:val="24"/>
          <w:szCs w:val="24"/>
        </w:rPr>
        <w:t xml:space="preserve">This was explained at length in the response to the tenant and as the tenant had made a satisfactory offer to clear the arrears no formal action followed. </w:t>
      </w:r>
    </w:p>
    <w:p w14:paraId="75E9EEED" w14:textId="77777777" w:rsidR="004021C0" w:rsidRPr="004021C0" w:rsidRDefault="004021C0" w:rsidP="004021C0">
      <w:pPr>
        <w:rPr>
          <w:rFonts w:ascii="Arial" w:hAnsi="Arial" w:cs="Arial"/>
          <w:sz w:val="24"/>
          <w:szCs w:val="24"/>
        </w:rPr>
      </w:pPr>
    </w:p>
    <w:p w14:paraId="2A7FE7B8" w14:textId="77777777" w:rsidR="004021C0" w:rsidRPr="004021C0" w:rsidRDefault="004021C0" w:rsidP="004021C0">
      <w:pPr>
        <w:rPr>
          <w:rFonts w:ascii="Arial" w:hAnsi="Arial" w:cs="Arial"/>
          <w:b/>
          <w:bCs/>
          <w:sz w:val="24"/>
          <w:szCs w:val="24"/>
        </w:rPr>
      </w:pPr>
      <w:r w:rsidRPr="004021C0">
        <w:rPr>
          <w:rFonts w:ascii="Arial" w:hAnsi="Arial" w:cs="Arial"/>
          <w:b/>
          <w:bCs/>
          <w:sz w:val="24"/>
          <w:szCs w:val="24"/>
        </w:rPr>
        <w:t>Complaint Not Upheld</w:t>
      </w:r>
    </w:p>
    <w:p w14:paraId="07E94DCC" w14:textId="77777777" w:rsidR="004021C0" w:rsidRPr="004021C0" w:rsidRDefault="004021C0" w:rsidP="004021C0">
      <w:pPr>
        <w:rPr>
          <w:rFonts w:ascii="Arial" w:hAnsi="Arial" w:cs="Arial"/>
          <w:sz w:val="24"/>
          <w:szCs w:val="24"/>
        </w:rPr>
      </w:pPr>
    </w:p>
    <w:p w14:paraId="1C5A3752" w14:textId="77777777" w:rsidR="004021C0" w:rsidRPr="004021C0" w:rsidRDefault="004021C0" w:rsidP="004021C0">
      <w:pPr>
        <w:rPr>
          <w:rFonts w:ascii="Arial" w:hAnsi="Arial" w:cs="Arial"/>
          <w:b/>
          <w:bCs/>
          <w:sz w:val="24"/>
          <w:szCs w:val="24"/>
        </w:rPr>
      </w:pPr>
      <w:r w:rsidRPr="004021C0">
        <w:rPr>
          <w:rFonts w:ascii="Arial" w:hAnsi="Arial" w:cs="Arial"/>
          <w:b/>
          <w:bCs/>
          <w:sz w:val="24"/>
          <w:szCs w:val="24"/>
        </w:rPr>
        <w:t>Learning and Improvement</w:t>
      </w:r>
    </w:p>
    <w:p w14:paraId="1CE6B98F" w14:textId="77777777" w:rsidR="006E5D9A" w:rsidRDefault="004021C0" w:rsidP="004021C0">
      <w:pPr>
        <w:rPr>
          <w:rFonts w:ascii="Arial" w:hAnsi="Arial" w:cs="Arial"/>
          <w:sz w:val="24"/>
          <w:szCs w:val="24"/>
        </w:rPr>
      </w:pPr>
      <w:r w:rsidRPr="004021C0">
        <w:rPr>
          <w:rFonts w:ascii="Arial" w:hAnsi="Arial" w:cs="Arial"/>
          <w:sz w:val="24"/>
          <w:szCs w:val="24"/>
        </w:rPr>
        <w:t xml:space="preserve"> As it appeared that the complainant had not understood why the Association had taken the course of action that it had it the conclusion drawn from the complaint was that there should be a greater effort made to explain the Rent Arrears Management Policy and Procedure. </w:t>
      </w:r>
    </w:p>
    <w:p w14:paraId="10204F42" w14:textId="5A695766" w:rsidR="004021C0" w:rsidRPr="004021C0" w:rsidRDefault="004021C0" w:rsidP="004021C0">
      <w:pPr>
        <w:rPr>
          <w:rFonts w:ascii="Arial" w:hAnsi="Arial" w:cs="Arial"/>
          <w:sz w:val="24"/>
          <w:szCs w:val="24"/>
        </w:rPr>
      </w:pPr>
      <w:r w:rsidRPr="004021C0">
        <w:rPr>
          <w:rFonts w:ascii="Arial" w:hAnsi="Arial" w:cs="Arial"/>
          <w:sz w:val="24"/>
          <w:szCs w:val="24"/>
        </w:rPr>
        <w:t xml:space="preserve">The Association produced an article for the tenant newsletter – </w:t>
      </w:r>
      <w:proofErr w:type="spellStart"/>
      <w:r w:rsidRPr="004021C0">
        <w:rPr>
          <w:rFonts w:ascii="Arial" w:hAnsi="Arial" w:cs="Arial"/>
          <w:sz w:val="24"/>
          <w:szCs w:val="24"/>
        </w:rPr>
        <w:t>Lyngline</w:t>
      </w:r>
      <w:proofErr w:type="spellEnd"/>
      <w:r w:rsidRPr="004021C0">
        <w:rPr>
          <w:rFonts w:ascii="Arial" w:hAnsi="Arial" w:cs="Arial"/>
          <w:sz w:val="24"/>
          <w:szCs w:val="24"/>
        </w:rPr>
        <w:t xml:space="preserve"> that outlined how the Association managed cases of rent arrears in compliance with Rent Arrears Policy and Procedure. The article confirmed that the steps in the procedure were applied consistently and were not discretionary.</w:t>
      </w:r>
    </w:p>
    <w:p w14:paraId="428D40DD" w14:textId="77777777" w:rsidR="004021C0" w:rsidRPr="004021C0" w:rsidRDefault="004021C0" w:rsidP="004021C0">
      <w:pPr>
        <w:rPr>
          <w:rFonts w:ascii="Arial" w:hAnsi="Arial" w:cs="Arial"/>
          <w:sz w:val="24"/>
          <w:szCs w:val="24"/>
        </w:rPr>
      </w:pPr>
    </w:p>
    <w:p w14:paraId="3FFE265E" w14:textId="77777777" w:rsidR="004021C0" w:rsidRPr="004021C0" w:rsidRDefault="004021C0" w:rsidP="004021C0">
      <w:pPr>
        <w:rPr>
          <w:rFonts w:ascii="Arial" w:hAnsi="Arial" w:cs="Arial"/>
          <w:sz w:val="24"/>
          <w:szCs w:val="24"/>
        </w:rPr>
      </w:pPr>
      <w:r w:rsidRPr="004021C0">
        <w:rPr>
          <w:rFonts w:ascii="Arial" w:hAnsi="Arial" w:cs="Arial"/>
          <w:b/>
          <w:bCs/>
          <w:sz w:val="24"/>
          <w:szCs w:val="24"/>
        </w:rPr>
        <w:t>Complaint 2</w:t>
      </w:r>
      <w:r w:rsidRPr="004021C0">
        <w:rPr>
          <w:rFonts w:ascii="Arial" w:hAnsi="Arial" w:cs="Arial"/>
          <w:sz w:val="24"/>
          <w:szCs w:val="24"/>
        </w:rPr>
        <w:t xml:space="preserve"> </w:t>
      </w:r>
      <w:proofErr w:type="gramStart"/>
      <w:r w:rsidRPr="004021C0">
        <w:rPr>
          <w:rFonts w:ascii="Arial" w:hAnsi="Arial" w:cs="Arial"/>
          <w:sz w:val="24"/>
          <w:szCs w:val="24"/>
        </w:rPr>
        <w:t>–  this</w:t>
      </w:r>
      <w:proofErr w:type="gramEnd"/>
      <w:r w:rsidRPr="004021C0">
        <w:rPr>
          <w:rFonts w:ascii="Arial" w:hAnsi="Arial" w:cs="Arial"/>
          <w:sz w:val="24"/>
          <w:szCs w:val="24"/>
        </w:rPr>
        <w:t xml:space="preserve"> was a complaint from a tenant about the conduct of the Housing Officer dealing with their rent arrears and the Association allegedly failing to follow the Pre-action Protocol.</w:t>
      </w:r>
    </w:p>
    <w:p w14:paraId="1412B3F3" w14:textId="77777777" w:rsidR="004021C0" w:rsidRPr="004021C0" w:rsidRDefault="004021C0" w:rsidP="004021C0">
      <w:pPr>
        <w:rPr>
          <w:rFonts w:ascii="Arial" w:hAnsi="Arial" w:cs="Arial"/>
          <w:sz w:val="24"/>
          <w:szCs w:val="24"/>
        </w:rPr>
      </w:pPr>
    </w:p>
    <w:p w14:paraId="2C8E35EA" w14:textId="77777777" w:rsidR="004021C0" w:rsidRPr="004021C0" w:rsidRDefault="004021C0" w:rsidP="004021C0">
      <w:pPr>
        <w:rPr>
          <w:rFonts w:ascii="Arial" w:hAnsi="Arial" w:cs="Arial"/>
          <w:sz w:val="24"/>
          <w:szCs w:val="24"/>
        </w:rPr>
      </w:pPr>
      <w:r w:rsidRPr="004021C0">
        <w:rPr>
          <w:rFonts w:ascii="Arial" w:hAnsi="Arial" w:cs="Arial"/>
          <w:sz w:val="24"/>
          <w:szCs w:val="24"/>
        </w:rPr>
        <w:t xml:space="preserve">The Association reviewed the case file and responded to the complainant with a clear explanation of how the Association had followed the Pre-action Protocol at every stage of the process. The Association also went through the details of the Rent Arrears Management Policy explaining how the process worked in practice. </w:t>
      </w:r>
    </w:p>
    <w:p w14:paraId="66B7142B" w14:textId="77777777" w:rsidR="004021C0" w:rsidRPr="004021C0" w:rsidRDefault="004021C0" w:rsidP="004021C0">
      <w:pPr>
        <w:rPr>
          <w:rFonts w:ascii="Arial" w:hAnsi="Arial" w:cs="Arial"/>
          <w:b/>
          <w:bCs/>
          <w:sz w:val="24"/>
          <w:szCs w:val="24"/>
        </w:rPr>
      </w:pPr>
    </w:p>
    <w:p w14:paraId="188D9E60" w14:textId="77777777" w:rsidR="004021C0" w:rsidRPr="004021C0" w:rsidRDefault="004021C0" w:rsidP="004021C0">
      <w:pPr>
        <w:rPr>
          <w:rFonts w:ascii="Arial" w:hAnsi="Arial" w:cs="Arial"/>
          <w:b/>
          <w:bCs/>
          <w:sz w:val="24"/>
          <w:szCs w:val="24"/>
        </w:rPr>
      </w:pPr>
      <w:r w:rsidRPr="004021C0">
        <w:rPr>
          <w:rFonts w:ascii="Arial" w:hAnsi="Arial" w:cs="Arial"/>
          <w:b/>
          <w:bCs/>
          <w:sz w:val="24"/>
          <w:szCs w:val="24"/>
        </w:rPr>
        <w:t>Complaint Not Upheld</w:t>
      </w:r>
    </w:p>
    <w:p w14:paraId="0C0179CF" w14:textId="77777777" w:rsidR="004021C0" w:rsidRPr="004021C0" w:rsidRDefault="004021C0" w:rsidP="004021C0">
      <w:pPr>
        <w:rPr>
          <w:rFonts w:ascii="Arial" w:hAnsi="Arial" w:cs="Arial"/>
          <w:sz w:val="24"/>
          <w:szCs w:val="24"/>
        </w:rPr>
      </w:pPr>
    </w:p>
    <w:p w14:paraId="2FAA9EC4" w14:textId="77777777" w:rsidR="004021C0" w:rsidRPr="004021C0" w:rsidRDefault="004021C0" w:rsidP="004021C0">
      <w:pPr>
        <w:rPr>
          <w:rFonts w:ascii="Arial" w:hAnsi="Arial" w:cs="Arial"/>
          <w:b/>
          <w:bCs/>
          <w:sz w:val="24"/>
          <w:szCs w:val="24"/>
        </w:rPr>
      </w:pPr>
      <w:r w:rsidRPr="004021C0">
        <w:rPr>
          <w:rFonts w:ascii="Arial" w:hAnsi="Arial" w:cs="Arial"/>
          <w:b/>
          <w:bCs/>
          <w:sz w:val="24"/>
          <w:szCs w:val="24"/>
        </w:rPr>
        <w:t>Learning and Improvement</w:t>
      </w:r>
    </w:p>
    <w:p w14:paraId="3F999141" w14:textId="77777777" w:rsidR="004021C0" w:rsidRPr="004021C0" w:rsidRDefault="004021C0" w:rsidP="004021C0">
      <w:pPr>
        <w:rPr>
          <w:rFonts w:ascii="Arial" w:hAnsi="Arial" w:cs="Arial"/>
          <w:sz w:val="24"/>
          <w:szCs w:val="24"/>
        </w:rPr>
      </w:pPr>
      <w:r w:rsidRPr="004021C0">
        <w:rPr>
          <w:rFonts w:ascii="Arial" w:hAnsi="Arial" w:cs="Arial"/>
          <w:sz w:val="24"/>
          <w:szCs w:val="24"/>
        </w:rPr>
        <w:t>As mentioned in Complaint 1 the Association issued an article explaining the Rent Arrears Management Policy and Procedure in the next newsletter and amended the standard letters used to include more detail on how the process works.</w:t>
      </w:r>
    </w:p>
    <w:p w14:paraId="01665278" w14:textId="77777777" w:rsidR="004021C0" w:rsidRPr="004021C0" w:rsidRDefault="004021C0" w:rsidP="004021C0">
      <w:pPr>
        <w:rPr>
          <w:rFonts w:ascii="Arial" w:hAnsi="Arial" w:cs="Arial"/>
          <w:sz w:val="24"/>
          <w:szCs w:val="24"/>
        </w:rPr>
      </w:pPr>
    </w:p>
    <w:p w14:paraId="6F093550" w14:textId="77777777" w:rsidR="004021C0" w:rsidRPr="004021C0" w:rsidRDefault="004021C0" w:rsidP="004021C0">
      <w:pPr>
        <w:pBdr>
          <w:bottom w:val="single" w:sz="4" w:space="1" w:color="auto"/>
        </w:pBdr>
        <w:rPr>
          <w:rFonts w:ascii="Arial" w:hAnsi="Arial" w:cs="Arial"/>
          <w:sz w:val="24"/>
          <w:szCs w:val="24"/>
        </w:rPr>
      </w:pPr>
    </w:p>
    <w:p w14:paraId="04E93371" w14:textId="77777777" w:rsidR="004021C0" w:rsidRPr="004021C0" w:rsidRDefault="004021C0">
      <w:pPr>
        <w:rPr>
          <w:rFonts w:ascii="Arial" w:hAnsi="Arial" w:cs="Arial"/>
          <w:sz w:val="24"/>
          <w:szCs w:val="24"/>
          <w:lang w:val="en-US"/>
        </w:rPr>
      </w:pPr>
    </w:p>
    <w:p w14:paraId="6BA5C940" w14:textId="77777777" w:rsidR="004021C0" w:rsidRPr="004021C0" w:rsidRDefault="004021C0">
      <w:pPr>
        <w:rPr>
          <w:rFonts w:ascii="Arial" w:hAnsi="Arial" w:cs="Arial"/>
          <w:sz w:val="24"/>
          <w:szCs w:val="24"/>
          <w:lang w:val="en-US"/>
        </w:rPr>
      </w:pPr>
    </w:p>
    <w:p w14:paraId="2A6B729D" w14:textId="77777777" w:rsidR="004021C0" w:rsidRPr="004021C0" w:rsidRDefault="004021C0">
      <w:pPr>
        <w:rPr>
          <w:rFonts w:ascii="Arial" w:hAnsi="Arial" w:cs="Arial"/>
          <w:sz w:val="24"/>
          <w:szCs w:val="24"/>
          <w:lang w:val="en-US"/>
        </w:rPr>
      </w:pPr>
    </w:p>
    <w:p w14:paraId="58722F64" w14:textId="632402E3" w:rsidR="004021C0" w:rsidRPr="004021C0" w:rsidRDefault="004021C0" w:rsidP="004021C0">
      <w:pPr>
        <w:pStyle w:val="xmsonormal"/>
        <w:shd w:val="clear" w:color="auto" w:fill="FFFFFF"/>
        <w:spacing w:before="0" w:beforeAutospacing="0" w:after="0" w:afterAutospacing="0"/>
        <w:textAlignment w:val="baseline"/>
        <w:rPr>
          <w:rFonts w:ascii="Arial" w:hAnsi="Arial" w:cs="Arial"/>
          <w:b/>
          <w:bCs/>
          <w:color w:val="000000"/>
          <w:bdr w:val="none" w:sz="0" w:space="0" w:color="auto" w:frame="1"/>
        </w:rPr>
      </w:pPr>
      <w:r>
        <w:rPr>
          <w:rFonts w:ascii="Arial" w:hAnsi="Arial" w:cs="Arial"/>
          <w:b/>
          <w:bCs/>
          <w:color w:val="000000"/>
          <w:bdr w:val="none" w:sz="0" w:space="0" w:color="auto" w:frame="1"/>
        </w:rPr>
        <w:t xml:space="preserve">Organisational </w:t>
      </w:r>
      <w:r w:rsidRPr="004021C0">
        <w:rPr>
          <w:rFonts w:ascii="Arial" w:hAnsi="Arial" w:cs="Arial"/>
          <w:b/>
          <w:bCs/>
          <w:color w:val="000000"/>
          <w:bdr w:val="none" w:sz="0" w:space="0" w:color="auto" w:frame="1"/>
        </w:rPr>
        <w:t>Learning and Improvement</w:t>
      </w:r>
    </w:p>
    <w:p w14:paraId="126F8E98" w14:textId="77777777" w:rsidR="004021C0" w:rsidRPr="004021C0" w:rsidRDefault="004021C0" w:rsidP="004021C0">
      <w:pPr>
        <w:pStyle w:val="xmsonormal"/>
        <w:shd w:val="clear" w:color="auto" w:fill="FFFFFF"/>
        <w:spacing w:before="0" w:beforeAutospacing="0" w:after="0" w:afterAutospacing="0"/>
        <w:textAlignment w:val="baseline"/>
        <w:rPr>
          <w:rFonts w:ascii="Arial" w:hAnsi="Arial" w:cs="Arial"/>
          <w:color w:val="242424"/>
        </w:rPr>
      </w:pPr>
    </w:p>
    <w:p w14:paraId="401EEF89" w14:textId="77777777" w:rsidR="004021C0" w:rsidRDefault="004021C0" w:rsidP="004021C0">
      <w:pPr>
        <w:pStyle w:val="xmsonormal"/>
        <w:shd w:val="clear" w:color="auto" w:fill="FFFFFF"/>
        <w:spacing w:before="0" w:beforeAutospacing="0" w:after="0" w:afterAutospacing="0"/>
        <w:textAlignment w:val="baseline"/>
        <w:rPr>
          <w:rFonts w:ascii="Arial" w:hAnsi="Arial" w:cs="Arial"/>
          <w:color w:val="000000"/>
          <w:bdr w:val="none" w:sz="0" w:space="0" w:color="auto" w:frame="1"/>
        </w:rPr>
      </w:pPr>
      <w:r w:rsidRPr="004021C0">
        <w:rPr>
          <w:rFonts w:ascii="Arial" w:hAnsi="Arial" w:cs="Arial"/>
          <w:color w:val="000000"/>
          <w:bdr w:val="none" w:sz="0" w:space="0" w:color="auto" w:frame="1"/>
        </w:rPr>
        <w:t xml:space="preserve">The conclusion drawn from complaint 1 and complaint </w:t>
      </w:r>
      <w:proofErr w:type="gramStart"/>
      <w:r w:rsidRPr="004021C0">
        <w:rPr>
          <w:rFonts w:ascii="Arial" w:hAnsi="Arial" w:cs="Arial"/>
          <w:color w:val="000000"/>
          <w:bdr w:val="none" w:sz="0" w:space="0" w:color="auto" w:frame="1"/>
        </w:rPr>
        <w:t>2  was</w:t>
      </w:r>
      <w:proofErr w:type="gramEnd"/>
      <w:r w:rsidRPr="004021C0">
        <w:rPr>
          <w:rFonts w:ascii="Arial" w:hAnsi="Arial" w:cs="Arial"/>
          <w:color w:val="000000"/>
          <w:bdr w:val="none" w:sz="0" w:space="0" w:color="auto" w:frame="1"/>
        </w:rPr>
        <w:t xml:space="preserve"> that the Association needed to make a greater effort to explain the Association's Rent Arrears Management Policy and Procedure so that tenants could fully understand why specific actions were taken once arrears reached specific levels. </w:t>
      </w:r>
    </w:p>
    <w:p w14:paraId="6B782A0E" w14:textId="77777777" w:rsidR="004021C0" w:rsidRDefault="004021C0" w:rsidP="004021C0">
      <w:pPr>
        <w:pStyle w:val="xmsonormal"/>
        <w:shd w:val="clear" w:color="auto" w:fill="FFFFFF"/>
        <w:spacing w:before="0" w:beforeAutospacing="0" w:after="0" w:afterAutospacing="0"/>
        <w:textAlignment w:val="baseline"/>
        <w:rPr>
          <w:rFonts w:ascii="Arial" w:hAnsi="Arial" w:cs="Arial"/>
          <w:color w:val="000000"/>
          <w:bdr w:val="none" w:sz="0" w:space="0" w:color="auto" w:frame="1"/>
        </w:rPr>
      </w:pPr>
    </w:p>
    <w:p w14:paraId="2F90E19A" w14:textId="7DD83BB9" w:rsidR="004021C0" w:rsidRDefault="004021C0" w:rsidP="004021C0">
      <w:pPr>
        <w:pStyle w:val="xmsonormal"/>
        <w:shd w:val="clear" w:color="auto" w:fill="FFFFFF"/>
        <w:spacing w:before="0" w:beforeAutospacing="0" w:after="0" w:afterAutospacing="0"/>
        <w:textAlignment w:val="baseline"/>
        <w:rPr>
          <w:rFonts w:ascii="Arial" w:hAnsi="Arial" w:cs="Arial"/>
          <w:color w:val="000000"/>
          <w:bdr w:val="none" w:sz="0" w:space="0" w:color="auto" w:frame="1"/>
        </w:rPr>
      </w:pPr>
      <w:r w:rsidRPr="004021C0">
        <w:rPr>
          <w:rFonts w:ascii="Arial" w:hAnsi="Arial" w:cs="Arial"/>
          <w:color w:val="000000"/>
          <w:bdr w:val="none" w:sz="0" w:space="0" w:color="auto" w:frame="1"/>
        </w:rPr>
        <w:t xml:space="preserve">The Association also had to follow the Rent </w:t>
      </w:r>
      <w:proofErr w:type="gramStart"/>
      <w:r w:rsidRPr="004021C0">
        <w:rPr>
          <w:rFonts w:ascii="Arial" w:hAnsi="Arial" w:cs="Arial"/>
          <w:color w:val="000000"/>
          <w:bdr w:val="none" w:sz="0" w:space="0" w:color="auto" w:frame="1"/>
        </w:rPr>
        <w:t>Arrears  Pre</w:t>
      </w:r>
      <w:proofErr w:type="gramEnd"/>
      <w:r w:rsidRPr="004021C0">
        <w:rPr>
          <w:rFonts w:ascii="Arial" w:hAnsi="Arial" w:cs="Arial"/>
          <w:color w:val="000000"/>
          <w:bdr w:val="none" w:sz="0" w:space="0" w:color="auto" w:frame="1"/>
        </w:rPr>
        <w:t xml:space="preserve">-action </w:t>
      </w:r>
      <w:proofErr w:type="gramStart"/>
      <w:r w:rsidRPr="004021C0">
        <w:rPr>
          <w:rFonts w:ascii="Arial" w:hAnsi="Arial" w:cs="Arial"/>
          <w:color w:val="000000"/>
          <w:bdr w:val="none" w:sz="0" w:space="0" w:color="auto" w:frame="1"/>
        </w:rPr>
        <w:t>Protocol  which</w:t>
      </w:r>
      <w:proofErr w:type="gramEnd"/>
      <w:r w:rsidRPr="004021C0">
        <w:rPr>
          <w:rFonts w:ascii="Arial" w:hAnsi="Arial" w:cs="Arial"/>
          <w:color w:val="000000"/>
          <w:bdr w:val="none" w:sz="0" w:space="0" w:color="auto" w:frame="1"/>
        </w:rPr>
        <w:t xml:space="preserve"> set out the steps a landlord has to take before taking an arrears case to </w:t>
      </w:r>
      <w:proofErr w:type="gramStart"/>
      <w:r w:rsidRPr="004021C0">
        <w:rPr>
          <w:rFonts w:ascii="Arial" w:hAnsi="Arial" w:cs="Arial"/>
          <w:color w:val="000000"/>
          <w:bdr w:val="none" w:sz="0" w:space="0" w:color="auto" w:frame="1"/>
        </w:rPr>
        <w:t>Court</w:t>
      </w:r>
      <w:proofErr w:type="gramEnd"/>
      <w:r w:rsidRPr="004021C0">
        <w:rPr>
          <w:rFonts w:ascii="Arial" w:hAnsi="Arial" w:cs="Arial"/>
          <w:color w:val="000000"/>
          <w:bdr w:val="none" w:sz="0" w:space="0" w:color="auto" w:frame="1"/>
        </w:rPr>
        <w:t xml:space="preserve"> so it was important that there was a better understanding of these requirements.</w:t>
      </w:r>
    </w:p>
    <w:p w14:paraId="5DB578C5" w14:textId="77777777" w:rsidR="004021C0" w:rsidRPr="004021C0" w:rsidRDefault="004021C0" w:rsidP="004021C0">
      <w:pPr>
        <w:pStyle w:val="xmsonormal"/>
        <w:shd w:val="clear" w:color="auto" w:fill="FFFFFF"/>
        <w:spacing w:before="0" w:beforeAutospacing="0" w:after="0" w:afterAutospacing="0"/>
        <w:textAlignment w:val="baseline"/>
        <w:rPr>
          <w:rFonts w:ascii="Arial" w:hAnsi="Arial" w:cs="Arial"/>
          <w:color w:val="242424"/>
        </w:rPr>
      </w:pPr>
    </w:p>
    <w:p w14:paraId="642B955A" w14:textId="15E70618" w:rsidR="004021C0" w:rsidRDefault="004021C0" w:rsidP="004021C0">
      <w:pPr>
        <w:pStyle w:val="xmsonormal"/>
        <w:shd w:val="clear" w:color="auto" w:fill="FFFFFF"/>
        <w:spacing w:before="0" w:beforeAutospacing="0" w:after="0" w:afterAutospacing="0"/>
        <w:textAlignment w:val="baseline"/>
        <w:rPr>
          <w:rFonts w:ascii="Arial" w:hAnsi="Arial" w:cs="Arial"/>
          <w:color w:val="000000"/>
          <w:bdr w:val="none" w:sz="0" w:space="0" w:color="auto" w:frame="1"/>
        </w:rPr>
      </w:pPr>
      <w:r w:rsidRPr="004021C0">
        <w:rPr>
          <w:rFonts w:ascii="Arial" w:hAnsi="Arial" w:cs="Arial"/>
          <w:color w:val="000000"/>
          <w:bdr w:val="none" w:sz="0" w:space="0" w:color="auto" w:frame="1"/>
        </w:rPr>
        <w:t xml:space="preserve">The Association produced an article for the tenant newsletter – </w:t>
      </w:r>
      <w:proofErr w:type="spellStart"/>
      <w:r w:rsidRPr="004021C0">
        <w:rPr>
          <w:rFonts w:ascii="Arial" w:hAnsi="Arial" w:cs="Arial"/>
          <w:color w:val="000000"/>
          <w:bdr w:val="none" w:sz="0" w:space="0" w:color="auto" w:frame="1"/>
        </w:rPr>
        <w:t>Lyngline</w:t>
      </w:r>
      <w:proofErr w:type="spellEnd"/>
      <w:r w:rsidRPr="004021C0">
        <w:rPr>
          <w:rFonts w:ascii="Arial" w:hAnsi="Arial" w:cs="Arial"/>
          <w:color w:val="000000"/>
          <w:bdr w:val="none" w:sz="0" w:space="0" w:color="auto" w:frame="1"/>
        </w:rPr>
        <w:t xml:space="preserve"> that outlined how the Association managed cases of rent arrears in compliance with Rent Arrears Policy and Procedure and Pre-action Protocol. The article confirmed that the steps in the procedure were applied consistently and were not discretionary</w:t>
      </w:r>
      <w:r>
        <w:rPr>
          <w:rFonts w:ascii="Arial" w:hAnsi="Arial" w:cs="Arial"/>
          <w:color w:val="000000"/>
          <w:bdr w:val="none" w:sz="0" w:space="0" w:color="auto" w:frame="1"/>
        </w:rPr>
        <w:t>.</w:t>
      </w:r>
    </w:p>
    <w:p w14:paraId="31916006" w14:textId="77777777" w:rsidR="004021C0" w:rsidRPr="004021C0" w:rsidRDefault="004021C0" w:rsidP="004021C0">
      <w:pPr>
        <w:pStyle w:val="xmsonormal"/>
        <w:shd w:val="clear" w:color="auto" w:fill="FFFFFF"/>
        <w:spacing w:before="0" w:beforeAutospacing="0" w:after="0" w:afterAutospacing="0"/>
        <w:textAlignment w:val="baseline"/>
        <w:rPr>
          <w:rFonts w:ascii="Arial" w:hAnsi="Arial" w:cs="Arial"/>
          <w:color w:val="242424"/>
        </w:rPr>
      </w:pPr>
    </w:p>
    <w:p w14:paraId="770D97AD" w14:textId="77777777" w:rsidR="004021C0" w:rsidRPr="004021C0" w:rsidRDefault="004021C0" w:rsidP="004021C0">
      <w:pPr>
        <w:rPr>
          <w:rFonts w:ascii="Arial" w:hAnsi="Arial" w:cs="Arial"/>
          <w:sz w:val="24"/>
          <w:szCs w:val="24"/>
        </w:rPr>
      </w:pPr>
    </w:p>
    <w:p w14:paraId="0882DAB9" w14:textId="61BC6196" w:rsidR="004021C0" w:rsidRPr="004021C0" w:rsidRDefault="004021C0">
      <w:pPr>
        <w:rPr>
          <w:rFonts w:ascii="Arial" w:hAnsi="Arial" w:cs="Arial"/>
          <w:b/>
          <w:bCs/>
          <w:sz w:val="24"/>
          <w:szCs w:val="24"/>
        </w:rPr>
      </w:pPr>
      <w:r w:rsidRPr="004021C0">
        <w:rPr>
          <w:rFonts w:ascii="Arial" w:hAnsi="Arial" w:cs="Arial"/>
          <w:b/>
          <w:bCs/>
          <w:sz w:val="24"/>
          <w:szCs w:val="24"/>
        </w:rPr>
        <w:t xml:space="preserve">Lyng Community Association - Board Response </w:t>
      </w:r>
    </w:p>
    <w:p w14:paraId="695308DA" w14:textId="77777777" w:rsidR="004021C0" w:rsidRPr="004021C0" w:rsidRDefault="004021C0">
      <w:pPr>
        <w:rPr>
          <w:rFonts w:ascii="Arial" w:hAnsi="Arial" w:cs="Arial"/>
          <w:sz w:val="24"/>
          <w:szCs w:val="24"/>
        </w:rPr>
      </w:pPr>
    </w:p>
    <w:p w14:paraId="1FF6C420" w14:textId="77777777" w:rsidR="00A37052" w:rsidRDefault="004021C0">
      <w:pPr>
        <w:rPr>
          <w:rFonts w:ascii="Arial" w:hAnsi="Arial" w:cs="Arial"/>
          <w:sz w:val="24"/>
          <w:szCs w:val="24"/>
        </w:rPr>
      </w:pPr>
      <w:r>
        <w:rPr>
          <w:rFonts w:ascii="Arial" w:hAnsi="Arial" w:cs="Arial"/>
          <w:sz w:val="24"/>
          <w:szCs w:val="24"/>
        </w:rPr>
        <w:t xml:space="preserve">The Board considered the Complaints Handling Report at is July 2025 meeting and </w:t>
      </w:r>
      <w:r w:rsidR="00A37052">
        <w:rPr>
          <w:rFonts w:ascii="Arial" w:hAnsi="Arial" w:cs="Arial"/>
          <w:sz w:val="24"/>
          <w:szCs w:val="24"/>
        </w:rPr>
        <w:t>noted that the Board Member responsible for Complaints played a key role in reviewing each case and ensuring compliance with the Association’s Policies and Procedures and the Housing Ombudsman Service Complaints Handling Code.</w:t>
      </w:r>
    </w:p>
    <w:p w14:paraId="387C49BF" w14:textId="5CC25234" w:rsidR="004021C0" w:rsidRPr="004021C0" w:rsidRDefault="00A37052">
      <w:pPr>
        <w:rPr>
          <w:rFonts w:ascii="Arial" w:hAnsi="Arial" w:cs="Arial"/>
          <w:sz w:val="24"/>
          <w:szCs w:val="24"/>
        </w:rPr>
      </w:pPr>
      <w:r>
        <w:rPr>
          <w:rFonts w:ascii="Arial" w:hAnsi="Arial" w:cs="Arial"/>
          <w:sz w:val="24"/>
          <w:szCs w:val="24"/>
        </w:rPr>
        <w:t xml:space="preserve">The </w:t>
      </w:r>
      <w:proofErr w:type="spellStart"/>
      <w:r>
        <w:rPr>
          <w:rFonts w:ascii="Arial" w:hAnsi="Arial" w:cs="Arial"/>
          <w:sz w:val="24"/>
          <w:szCs w:val="24"/>
        </w:rPr>
        <w:t>Board.</w:t>
      </w:r>
      <w:r w:rsidR="004021C0">
        <w:rPr>
          <w:rFonts w:ascii="Arial" w:hAnsi="Arial" w:cs="Arial"/>
          <w:sz w:val="24"/>
          <w:szCs w:val="24"/>
        </w:rPr>
        <w:t>agreed</w:t>
      </w:r>
      <w:proofErr w:type="spellEnd"/>
      <w:r w:rsidR="004021C0">
        <w:rPr>
          <w:rFonts w:ascii="Arial" w:hAnsi="Arial" w:cs="Arial"/>
          <w:sz w:val="24"/>
          <w:szCs w:val="24"/>
        </w:rPr>
        <w:t xml:space="preserve"> the response to each complaint was appropriate</w:t>
      </w:r>
      <w:r>
        <w:rPr>
          <w:rFonts w:ascii="Arial" w:hAnsi="Arial" w:cs="Arial"/>
          <w:sz w:val="24"/>
          <w:szCs w:val="24"/>
        </w:rPr>
        <w:t xml:space="preserve"> and approved the Learning and Improvement actions.</w:t>
      </w:r>
    </w:p>
    <w:sectPr w:rsidR="004021C0" w:rsidRPr="004021C0">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87BC3F" w14:textId="77777777" w:rsidR="006E5D9A" w:rsidRDefault="006E5D9A" w:rsidP="006E5D9A">
      <w:pPr>
        <w:spacing w:after="0"/>
      </w:pPr>
      <w:r>
        <w:separator/>
      </w:r>
    </w:p>
  </w:endnote>
  <w:endnote w:type="continuationSeparator" w:id="0">
    <w:p w14:paraId="2AC55B35" w14:textId="77777777" w:rsidR="006E5D9A" w:rsidRDefault="006E5D9A" w:rsidP="006E5D9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DC4F2F" w14:textId="77777777" w:rsidR="006E5D9A" w:rsidRDefault="006E5D9A" w:rsidP="006E5D9A">
      <w:pPr>
        <w:spacing w:after="0"/>
      </w:pPr>
      <w:r>
        <w:separator/>
      </w:r>
    </w:p>
  </w:footnote>
  <w:footnote w:type="continuationSeparator" w:id="0">
    <w:p w14:paraId="38FDE60C" w14:textId="77777777" w:rsidR="006E5D9A" w:rsidRDefault="006E5D9A" w:rsidP="006E5D9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342F6E" w14:textId="1B1FE958" w:rsidR="006E5D9A" w:rsidRDefault="006E5D9A" w:rsidP="006E5D9A">
    <w:pPr>
      <w:pStyle w:val="Header"/>
      <w:jc w:val="center"/>
    </w:pPr>
    <w:r>
      <w:rPr>
        <w:noProof/>
        <w14:ligatures w14:val="standardContextual"/>
      </w:rPr>
      <w:drawing>
        <wp:inline distT="0" distB="0" distL="0" distR="0" wp14:anchorId="3247988E" wp14:editId="7FB45347">
          <wp:extent cx="1960880" cy="97345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960880" cy="973455"/>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comments="0" w:insDel="0" w:formatting="0" w:inkAnnotations="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21C0"/>
    <w:rsid w:val="004021C0"/>
    <w:rsid w:val="006E5D9A"/>
    <w:rsid w:val="008154F1"/>
    <w:rsid w:val="00A3705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1B37F9"/>
  <w15:chartTrackingRefBased/>
  <w15:docId w15:val="{6FAB8DB8-9248-44D8-A7F6-B058F4FB9A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21C0"/>
    <w:pPr>
      <w:spacing w:after="120" w:line="240" w:lineRule="auto"/>
    </w:pPr>
    <w:rPr>
      <w:rFonts w:ascii="Times New Roman" w:eastAsia="Times New Roman" w:hAnsi="Times New Roman" w:cs="Times New Roman"/>
      <w:kern w:val="0"/>
      <w:sz w:val="20"/>
      <w:szCs w:val="20"/>
      <w14:ligatures w14:val="none"/>
    </w:rPr>
  </w:style>
  <w:style w:type="paragraph" w:styleId="Heading1">
    <w:name w:val="heading 1"/>
    <w:basedOn w:val="Normal"/>
    <w:next w:val="Normal"/>
    <w:link w:val="Heading1Char"/>
    <w:uiPriority w:val="9"/>
    <w:qFormat/>
    <w:rsid w:val="004021C0"/>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4021C0"/>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4021C0"/>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4021C0"/>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4021C0"/>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4021C0"/>
    <w:pPr>
      <w:keepNext/>
      <w:keepLines/>
      <w:spacing w:before="40" w:after="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4021C0"/>
    <w:pPr>
      <w:keepNext/>
      <w:keepLines/>
      <w:spacing w:before="40" w:after="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4021C0"/>
    <w:pPr>
      <w:keepNext/>
      <w:keepLines/>
      <w:spacing w:after="0"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4021C0"/>
    <w:pPr>
      <w:keepNext/>
      <w:keepLines/>
      <w:spacing w:after="0"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021C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021C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021C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021C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021C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021C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021C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021C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021C0"/>
    <w:rPr>
      <w:rFonts w:eastAsiaTheme="majorEastAsia" w:cstheme="majorBidi"/>
      <w:color w:val="272727" w:themeColor="text1" w:themeTint="D8"/>
    </w:rPr>
  </w:style>
  <w:style w:type="paragraph" w:styleId="Title">
    <w:name w:val="Title"/>
    <w:basedOn w:val="Normal"/>
    <w:next w:val="Normal"/>
    <w:link w:val="TitleChar"/>
    <w:uiPriority w:val="10"/>
    <w:qFormat/>
    <w:rsid w:val="004021C0"/>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4021C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021C0"/>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4021C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021C0"/>
    <w:pPr>
      <w:spacing w:before="160" w:after="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4021C0"/>
    <w:rPr>
      <w:i/>
      <w:iCs/>
      <w:color w:val="404040" w:themeColor="text1" w:themeTint="BF"/>
    </w:rPr>
  </w:style>
  <w:style w:type="paragraph" w:styleId="ListParagraph">
    <w:name w:val="List Paragraph"/>
    <w:basedOn w:val="Normal"/>
    <w:uiPriority w:val="34"/>
    <w:qFormat/>
    <w:rsid w:val="004021C0"/>
    <w:pPr>
      <w:spacing w:after="160" w:line="278" w:lineRule="auto"/>
      <w:ind w:left="720"/>
      <w:contextualSpacing/>
    </w:pPr>
    <w:rPr>
      <w:rFonts w:asciiTheme="minorHAnsi" w:eastAsiaTheme="minorHAnsi" w:hAnsiTheme="minorHAnsi" w:cstheme="minorBidi"/>
      <w:kern w:val="2"/>
      <w:sz w:val="24"/>
      <w:szCs w:val="24"/>
      <w14:ligatures w14:val="standardContextual"/>
    </w:rPr>
  </w:style>
  <w:style w:type="character" w:styleId="IntenseEmphasis">
    <w:name w:val="Intense Emphasis"/>
    <w:basedOn w:val="DefaultParagraphFont"/>
    <w:uiPriority w:val="21"/>
    <w:qFormat/>
    <w:rsid w:val="004021C0"/>
    <w:rPr>
      <w:i/>
      <w:iCs/>
      <w:color w:val="0F4761" w:themeColor="accent1" w:themeShade="BF"/>
    </w:rPr>
  </w:style>
  <w:style w:type="paragraph" w:styleId="IntenseQuote">
    <w:name w:val="Intense Quote"/>
    <w:basedOn w:val="Normal"/>
    <w:next w:val="Normal"/>
    <w:link w:val="IntenseQuoteChar"/>
    <w:uiPriority w:val="30"/>
    <w:qFormat/>
    <w:rsid w:val="004021C0"/>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4021C0"/>
    <w:rPr>
      <w:i/>
      <w:iCs/>
      <w:color w:val="0F4761" w:themeColor="accent1" w:themeShade="BF"/>
    </w:rPr>
  </w:style>
  <w:style w:type="character" w:styleId="IntenseReference">
    <w:name w:val="Intense Reference"/>
    <w:basedOn w:val="DefaultParagraphFont"/>
    <w:uiPriority w:val="32"/>
    <w:qFormat/>
    <w:rsid w:val="004021C0"/>
    <w:rPr>
      <w:b/>
      <w:bCs/>
      <w:smallCaps/>
      <w:color w:val="0F4761" w:themeColor="accent1" w:themeShade="BF"/>
      <w:spacing w:val="5"/>
    </w:rPr>
  </w:style>
  <w:style w:type="paragraph" w:customStyle="1" w:styleId="xmsonormal">
    <w:name w:val="x_msonormal"/>
    <w:basedOn w:val="Normal"/>
    <w:rsid w:val="004021C0"/>
    <w:pPr>
      <w:spacing w:before="100" w:beforeAutospacing="1" w:after="100" w:afterAutospacing="1"/>
    </w:pPr>
    <w:rPr>
      <w:sz w:val="24"/>
      <w:szCs w:val="24"/>
      <w:lang w:eastAsia="en-GB"/>
    </w:rPr>
  </w:style>
  <w:style w:type="paragraph" w:styleId="Header">
    <w:name w:val="header"/>
    <w:basedOn w:val="Normal"/>
    <w:link w:val="HeaderChar"/>
    <w:uiPriority w:val="99"/>
    <w:unhideWhenUsed/>
    <w:rsid w:val="006E5D9A"/>
    <w:pPr>
      <w:tabs>
        <w:tab w:val="center" w:pos="4513"/>
        <w:tab w:val="right" w:pos="9026"/>
      </w:tabs>
      <w:spacing w:after="0"/>
    </w:pPr>
  </w:style>
  <w:style w:type="character" w:customStyle="1" w:styleId="HeaderChar">
    <w:name w:val="Header Char"/>
    <w:basedOn w:val="DefaultParagraphFont"/>
    <w:link w:val="Header"/>
    <w:uiPriority w:val="99"/>
    <w:rsid w:val="006E5D9A"/>
    <w:rPr>
      <w:rFonts w:ascii="Times New Roman" w:eastAsia="Times New Roman" w:hAnsi="Times New Roman" w:cs="Times New Roman"/>
      <w:kern w:val="0"/>
      <w:sz w:val="20"/>
      <w:szCs w:val="20"/>
      <w14:ligatures w14:val="none"/>
    </w:rPr>
  </w:style>
  <w:style w:type="paragraph" w:styleId="Footer">
    <w:name w:val="footer"/>
    <w:basedOn w:val="Normal"/>
    <w:link w:val="FooterChar"/>
    <w:uiPriority w:val="99"/>
    <w:unhideWhenUsed/>
    <w:rsid w:val="006E5D9A"/>
    <w:pPr>
      <w:tabs>
        <w:tab w:val="center" w:pos="4513"/>
        <w:tab w:val="right" w:pos="9026"/>
      </w:tabs>
      <w:spacing w:after="0"/>
    </w:pPr>
  </w:style>
  <w:style w:type="character" w:customStyle="1" w:styleId="FooterChar">
    <w:name w:val="Footer Char"/>
    <w:basedOn w:val="DefaultParagraphFont"/>
    <w:link w:val="Footer"/>
    <w:uiPriority w:val="99"/>
    <w:rsid w:val="006E5D9A"/>
    <w:rPr>
      <w:rFonts w:ascii="Times New Roman" w:eastAsia="Times New Roman" w:hAnsi="Times New Roman" w:cs="Times New Roman"/>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16</TotalTime>
  <Pages>3</Pages>
  <Words>749</Words>
  <Characters>4275</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Tony Nash</dc:creator>
  <cp:keywords/>
  <dc:description/>
  <cp:lastModifiedBy>Tony Nash</cp:lastModifiedBy>
  <cp:revision>2</cp:revision>
  <dcterms:created xsi:type="dcterms:W3CDTF">2025-09-26T16:39:00Z</dcterms:created>
  <dcterms:modified xsi:type="dcterms:W3CDTF">2025-09-26T16:56:00Z</dcterms:modified>
</cp:coreProperties>
</file>